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s>
        <w:spacing w:line="360" w:lineRule="auto"/>
        <w:jc w:val="center"/>
        <w:rPr>
          <w:rFonts w:hint="eastAsia" w:asciiTheme="minorEastAsia" w:hAnsiTheme="minorEastAsia" w:eastAsiaTheme="minorEastAsia" w:cstheme="minorEastAsia"/>
          <w:b/>
          <w:color w:val="FF0000"/>
          <w:spacing w:val="14"/>
          <w:kern w:val="32"/>
          <w:sz w:val="52"/>
          <w:szCs w:val="52"/>
        </w:rPr>
      </w:pPr>
      <w:r>
        <w:rPr>
          <w:rFonts w:hint="eastAsia" w:asciiTheme="minorEastAsia" w:hAnsiTheme="minorEastAsia" w:eastAsiaTheme="minorEastAsia" w:cstheme="minorEastAsia"/>
          <w:b/>
          <w:color w:val="FF0000"/>
          <w:spacing w:val="14"/>
          <w:kern w:val="32"/>
          <w:sz w:val="52"/>
          <w:szCs w:val="52"/>
        </w:rPr>
        <w:t>北京市物业服务评估监理协会</w:t>
      </w:r>
    </w:p>
    <w:p>
      <w:pPr>
        <w:tabs>
          <w:tab w:val="center" w:pos="4153"/>
        </w:tabs>
        <w:spacing w:line="360" w:lineRule="auto"/>
        <w:ind w:right="150"/>
        <w:jc w:val="center"/>
        <w:rPr>
          <w:rFonts w:hint="eastAsia" w:asciiTheme="minorEastAsia" w:hAnsiTheme="minorEastAsia" w:eastAsiaTheme="minorEastAsia" w:cstheme="minorEastAsia"/>
          <w:b/>
          <w:color w:val="FF0000"/>
          <w:spacing w:val="14"/>
          <w:kern w:val="32"/>
          <w:sz w:val="52"/>
          <w:szCs w:val="52"/>
          <w:lang w:val="en-US" w:eastAsia="zh-CN"/>
        </w:rPr>
      </w:pPr>
      <w:r>
        <w:rPr>
          <w:rFonts w:hint="eastAsia" w:asciiTheme="minorEastAsia" w:hAnsiTheme="minorEastAsia" w:eastAsiaTheme="minorEastAsia" w:cstheme="minorEastAsia"/>
          <w:kern w:val="0"/>
          <w:sz w:val="30"/>
          <w:szCs w:val="30"/>
        </w:rPr>
        <w:t>京物评协字[201</w:t>
      </w:r>
      <w:r>
        <w:rPr>
          <w:rFonts w:hint="eastAsia" w:asciiTheme="minorEastAsia" w:hAnsiTheme="minorEastAsia" w:eastAsiaTheme="minorEastAsia" w:cstheme="minorEastAsia"/>
          <w:kern w:val="0"/>
          <w:sz w:val="30"/>
          <w:szCs w:val="30"/>
          <w:lang w:val="en-US" w:eastAsia="zh-CN"/>
        </w:rPr>
        <w:t>9</w:t>
      </w:r>
      <w:r>
        <w:rPr>
          <w:rFonts w:hint="eastAsia" w:asciiTheme="minorEastAsia" w:hAnsiTheme="minorEastAsia" w:eastAsiaTheme="minorEastAsia" w:cstheme="minorEastAsia"/>
          <w:kern w:val="0"/>
          <w:sz w:val="30"/>
          <w:szCs w:val="30"/>
        </w:rPr>
        <w:t>]</w:t>
      </w:r>
      <w:r>
        <w:rPr>
          <w:rFonts w:hint="eastAsia" w:asciiTheme="minorEastAsia" w:hAnsiTheme="minorEastAsia" w:eastAsiaTheme="minorEastAsia" w:cstheme="minorEastAsia"/>
          <w:kern w:val="0"/>
          <w:sz w:val="30"/>
          <w:szCs w:val="30"/>
          <w:lang w:val="en-US" w:eastAsia="zh-CN"/>
        </w:rPr>
        <w:t>1</w:t>
      </w:r>
      <w:r>
        <w:rPr>
          <w:rFonts w:hint="eastAsia" w:asciiTheme="minorEastAsia" w:hAnsiTheme="minorEastAsia" w:eastAsiaTheme="minorEastAsia" w:cstheme="minorEastAsia"/>
          <w:kern w:val="0"/>
          <w:sz w:val="30"/>
          <w:szCs w:val="30"/>
        </w:rPr>
        <w:t>号</w:t>
      </w:r>
    </w:p>
    <w:p>
      <w:pPr>
        <w:spacing w:line="360" w:lineRule="auto"/>
        <w:jc w:val="center"/>
        <w:rPr>
          <w:sz w:val="10"/>
          <w:szCs w:val="10"/>
        </w:rPr>
      </w:pPr>
      <w:r>
        <mc:AlternateContent>
          <mc:Choice Requires="wps">
            <w:drawing>
              <wp:anchor distT="0" distB="0" distL="114300" distR="114300" simplePos="0" relativeHeight="251658240" behindDoc="0" locked="0" layoutInCell="1" allowOverlap="1">
                <wp:simplePos x="0" y="0"/>
                <wp:positionH relativeFrom="column">
                  <wp:posOffset>-228600</wp:posOffset>
                </wp:positionH>
                <wp:positionV relativeFrom="paragraph">
                  <wp:posOffset>99060</wp:posOffset>
                </wp:positionV>
                <wp:extent cx="5715000" cy="0"/>
                <wp:effectExtent l="0" t="13970" r="0" b="241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FF0000"/>
                          </a:solidFill>
                          <a:round/>
                        </a:ln>
                        <a:effectLst/>
                      </wps:spPr>
                      <wps:bodyPr/>
                    </wps:wsp>
                  </a:graphicData>
                </a:graphic>
              </wp:anchor>
            </w:drawing>
          </mc:Choice>
          <mc:Fallback>
            <w:pict>
              <v:line id="_x0000_s1026" o:spid="_x0000_s1026" o:spt="20" style="position:absolute;left:0pt;margin-left:-18pt;margin-top:7.8pt;height:0pt;width:450pt;z-index:251658240;mso-width-relative:page;mso-height-relative:page;" filled="f" stroked="t" coordsize="21600,21600" o:gfxdata="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enXfcNYAAAAJAQAADwAAAAAAAAABACAAAAAiAAAA&#10;ZHJzL2Rvd25yZXYueG1sUEsBAhQAFAAAAAgAh07iQJDO4SbQAQAAawMAAA4AAAAAAAAAAQAgAAAA&#10;JQEAAGRycy9lMm9Eb2MueG1sUEsFBgAAAAAGAAYAWQEAAGcFAAAAAA==&#10;">
                <v:fill on="f" focussize="0,0"/>
                <v:stroke weight="2.25pt" color="#FF0000" joinstyle="round"/>
                <v:imagedata o:title=""/>
                <o:lock v:ext="edit" aspectratio="f"/>
              </v:line>
            </w:pict>
          </mc:Fallback>
        </mc:AlternateContent>
      </w:r>
    </w:p>
    <w:p>
      <w:pPr>
        <w:spacing w:line="560" w:lineRule="exact"/>
        <w:jc w:val="center"/>
        <w:rPr>
          <w:rFonts w:hint="eastAsia" w:ascii="方正小标宋简体" w:eastAsia="方正小标宋简体"/>
          <w:b/>
          <w:sz w:val="36"/>
          <w:szCs w:val="36"/>
          <w:lang w:val="en-US" w:eastAsia="zh-CN"/>
        </w:rPr>
      </w:pPr>
      <w:r>
        <w:rPr>
          <w:rFonts w:hint="eastAsia" w:ascii="方正小标宋简体" w:eastAsia="方正小标宋简体"/>
          <w:b/>
          <w:sz w:val="36"/>
          <w:szCs w:val="36"/>
          <w:lang w:eastAsia="zh-CN"/>
        </w:rPr>
        <w:t>关于印发《协会物业服务评估监理管理办法》的通知</w:t>
      </w:r>
      <w:r>
        <w:rPr>
          <w:rFonts w:hint="eastAsia" w:asciiTheme="minorEastAsia" w:hAnsiTheme="minorEastAsia" w:eastAsiaTheme="minorEastAsia" w:cstheme="minorEastAsia"/>
          <w:b/>
          <w:sz w:val="30"/>
          <w:szCs w:val="30"/>
          <w:lang w:eastAsia="zh-CN"/>
        </w:rPr>
        <w:t>（征求意见稿）</w:t>
      </w:r>
    </w:p>
    <w:p>
      <w:pPr>
        <w:keepNext w:val="0"/>
        <w:keepLines w:val="0"/>
        <w:pageBreakBefore w:val="0"/>
        <w:widowControl/>
        <w:kinsoku/>
        <w:wordWrap/>
        <w:overflowPunct/>
        <w:topLinePunct w:val="0"/>
        <w:autoSpaceDE/>
        <w:autoSpaceDN/>
        <w:bidi w:val="0"/>
        <w:adjustRightInd/>
        <w:snapToGrid/>
        <w:spacing w:before="313" w:beforeLines="100" w:line="440" w:lineRule="exact"/>
        <w:jc w:val="left"/>
        <w:textAlignment w:val="auto"/>
        <w:outlineLvl w:val="9"/>
        <w:rPr>
          <w:rFonts w:ascii="宋体" w:hAnsi="宋体" w:eastAsia="宋体" w:cs="宋体"/>
          <w:kern w:val="0"/>
          <w:sz w:val="32"/>
          <w:szCs w:val="32"/>
        </w:rPr>
      </w:pPr>
      <w:r>
        <w:rPr>
          <w:rFonts w:hint="eastAsia" w:ascii="宋体" w:hAnsi="宋体" w:eastAsia="宋体" w:cs="宋体"/>
          <w:kern w:val="0"/>
          <w:sz w:val="32"/>
          <w:szCs w:val="32"/>
          <w:lang w:eastAsia="zh-CN"/>
        </w:rPr>
        <w:t>协会所属会员机构</w:t>
      </w:r>
      <w:r>
        <w:rPr>
          <w:rFonts w:hint="eastAsia" w:ascii="宋体" w:hAnsi="宋体" w:eastAsia="宋体" w:cs="宋体"/>
          <w:kern w:val="0"/>
          <w:sz w:val="32"/>
          <w:szCs w:val="32"/>
        </w:rPr>
        <w:t>：</w:t>
      </w:r>
    </w:p>
    <w:p>
      <w:pPr>
        <w:pStyle w:val="2"/>
        <w:shd w:val="clear" w:color="auto" w:fill="FFFFFF"/>
        <w:spacing w:line="440" w:lineRule="exact"/>
        <w:ind w:firstLine="640" w:firstLineChars="200"/>
        <w:jc w:val="both"/>
        <w:rPr>
          <w:rFonts w:hint="eastAsia" w:cs="宋体"/>
          <w:kern w:val="0"/>
          <w:sz w:val="32"/>
          <w:szCs w:val="32"/>
          <w:lang w:eastAsia="zh-CN"/>
        </w:rPr>
      </w:pPr>
      <w:r>
        <w:rPr>
          <w:rFonts w:hint="eastAsia" w:ascii="宋体" w:hAnsi="宋体" w:eastAsia="宋体" w:cs="宋体"/>
          <w:kern w:val="0"/>
          <w:sz w:val="32"/>
          <w:szCs w:val="32"/>
        </w:rPr>
        <w:t>为</w:t>
      </w:r>
      <w:r>
        <w:rPr>
          <w:rFonts w:hint="eastAsia" w:cs="宋体"/>
          <w:kern w:val="0"/>
          <w:sz w:val="32"/>
          <w:szCs w:val="32"/>
          <w:lang w:eastAsia="zh-CN"/>
        </w:rPr>
        <w:t>了规范物业服务评估监理机构的执业活动，维护委托方与被评估监理方的合法权益，推动物业服务评估监理市场化健康发展，现将《协会物业服务评估监理管理办法》印发给协会所属会员机构，请参照执行。</w:t>
      </w:r>
    </w:p>
    <w:p>
      <w:pPr>
        <w:pStyle w:val="2"/>
        <w:shd w:val="clear" w:color="auto" w:fill="FFFFFF"/>
        <w:spacing w:line="440" w:lineRule="exact"/>
        <w:ind w:firstLine="640" w:firstLineChars="200"/>
        <w:jc w:val="both"/>
        <w:rPr>
          <w:rStyle w:val="4"/>
          <w:rFonts w:hint="eastAsia" w:eastAsia="宋体"/>
          <w:sz w:val="32"/>
          <w:szCs w:val="32"/>
          <w:lang w:eastAsia="zh-CN"/>
        </w:rPr>
      </w:pPr>
      <w:r>
        <w:rPr>
          <w:rFonts w:hint="eastAsia" w:cs="宋体"/>
          <w:kern w:val="0"/>
          <w:sz w:val="32"/>
          <w:szCs w:val="32"/>
          <w:lang w:eastAsia="zh-CN"/>
        </w:rPr>
        <w:t>附：</w:t>
      </w:r>
      <w:r>
        <w:rPr>
          <w:rStyle w:val="4"/>
          <w:rFonts w:hint="eastAsia"/>
          <w:b w:val="0"/>
          <w:bCs w:val="0"/>
          <w:sz w:val="32"/>
          <w:szCs w:val="32"/>
          <w:lang w:eastAsia="zh-CN"/>
        </w:rPr>
        <w:t>《协会物业服务评估监理管理办法》</w:t>
      </w:r>
    </w:p>
    <w:p>
      <w:pPr>
        <w:pStyle w:val="2"/>
        <w:shd w:val="clear" w:color="auto" w:fill="FFFFFF"/>
        <w:spacing w:line="440" w:lineRule="exact"/>
        <w:ind w:firstLine="640" w:firstLineChars="200"/>
        <w:jc w:val="both"/>
        <w:rPr>
          <w:rFonts w:hint="eastAsia" w:cs="宋体"/>
          <w:kern w:val="0"/>
          <w:sz w:val="32"/>
          <w:szCs w:val="32"/>
          <w:lang w:eastAsia="zh-CN"/>
        </w:rPr>
      </w:pPr>
    </w:p>
    <w:p>
      <w:pPr>
        <w:pStyle w:val="2"/>
        <w:shd w:val="clear" w:color="auto" w:fill="FFFFFF"/>
        <w:spacing w:line="440" w:lineRule="exact"/>
        <w:ind w:firstLine="640" w:firstLineChars="200"/>
        <w:jc w:val="both"/>
        <w:rPr>
          <w:rFonts w:hint="eastAsia" w:cs="宋体"/>
          <w:kern w:val="0"/>
          <w:sz w:val="32"/>
          <w:szCs w:val="32"/>
          <w:lang w:eastAsia="zh-CN"/>
        </w:rPr>
      </w:pPr>
    </w:p>
    <w:p>
      <w:pPr>
        <w:pStyle w:val="2"/>
        <w:shd w:val="clear" w:color="auto" w:fill="FFFFFF"/>
        <w:spacing w:line="440" w:lineRule="exact"/>
        <w:ind w:firstLine="640" w:firstLineChars="200"/>
        <w:jc w:val="both"/>
        <w:rPr>
          <w:rFonts w:hint="eastAsia" w:cs="宋体"/>
          <w:kern w:val="0"/>
          <w:sz w:val="32"/>
          <w:szCs w:val="32"/>
          <w:lang w:eastAsia="zh-CN"/>
        </w:rPr>
      </w:pPr>
    </w:p>
    <w:p>
      <w:pPr>
        <w:pStyle w:val="2"/>
        <w:shd w:val="clear" w:color="auto" w:fill="FFFFFF"/>
        <w:spacing w:line="440" w:lineRule="exact"/>
        <w:ind w:firstLine="640" w:firstLineChars="200"/>
        <w:jc w:val="both"/>
        <w:rPr>
          <w:rFonts w:hint="eastAsia" w:cs="宋体"/>
          <w:kern w:val="0"/>
          <w:sz w:val="32"/>
          <w:szCs w:val="32"/>
          <w:lang w:eastAsia="zh-CN"/>
        </w:rPr>
      </w:pPr>
    </w:p>
    <w:p>
      <w:pPr>
        <w:keepNext w:val="0"/>
        <w:keepLines w:val="0"/>
        <w:pageBreakBefore w:val="0"/>
        <w:widowControl w:val="0"/>
        <w:kinsoku/>
        <w:wordWrap/>
        <w:overflowPunct/>
        <w:topLinePunct w:val="0"/>
        <w:bidi w:val="0"/>
        <w:snapToGrid/>
        <w:spacing w:line="240" w:lineRule="auto"/>
        <w:jc w:val="right"/>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北京市物业服务评估监理协会</w:t>
      </w:r>
    </w:p>
    <w:p>
      <w:pPr>
        <w:keepNext w:val="0"/>
        <w:keepLines w:val="0"/>
        <w:pageBreakBefore w:val="0"/>
        <w:widowControl w:val="0"/>
        <w:kinsoku/>
        <w:wordWrap/>
        <w:overflowPunct/>
        <w:topLinePunct w:val="0"/>
        <w:autoSpaceDE w:val="0"/>
        <w:autoSpaceDN w:val="0"/>
        <w:bidi w:val="0"/>
        <w:adjustRightInd w:val="0"/>
        <w:snapToGrid/>
        <w:spacing w:after="157" w:afterLines="50" w:line="240" w:lineRule="auto"/>
        <w:jc w:val="right"/>
        <w:textAlignment w:val="auto"/>
        <w:outlineLvl w:val="9"/>
        <w:rPr>
          <w:rFonts w:hint="eastAsia" w:asciiTheme="minorEastAsia" w:hAnsiTheme="minorEastAsia" w:eastAsiaTheme="minorEastAsia" w:cstheme="minorEastAsia"/>
          <w:kern w:val="0"/>
          <w:sz w:val="30"/>
          <w:szCs w:val="30"/>
        </w:rPr>
      </w:pPr>
      <w:r>
        <w:rPr>
          <w:rFonts w:hint="eastAsia" w:ascii="宋体" w:hAnsi="宋体" w:eastAsia="宋体" w:cs="宋体"/>
          <w:kern w:val="0"/>
          <w:sz w:val="32"/>
          <w:szCs w:val="32"/>
        </w:rPr>
        <w:t>二〇一八年</w:t>
      </w:r>
      <w:r>
        <w:rPr>
          <w:rFonts w:hint="eastAsia" w:ascii="宋体" w:hAnsi="宋体" w:eastAsia="宋体" w:cs="宋体"/>
          <w:kern w:val="0"/>
          <w:sz w:val="32"/>
          <w:szCs w:val="32"/>
          <w:lang w:eastAsia="zh-CN"/>
        </w:rPr>
        <w:t>十二</w:t>
      </w:r>
      <w:r>
        <w:rPr>
          <w:rFonts w:hint="eastAsia" w:ascii="宋体" w:hAnsi="宋体" w:eastAsia="宋体" w:cs="宋体"/>
          <w:kern w:val="0"/>
          <w:sz w:val="32"/>
          <w:szCs w:val="32"/>
        </w:rPr>
        <w:t>月</w:t>
      </w:r>
      <w:r>
        <w:rPr>
          <w:rFonts w:hint="eastAsia" w:ascii="宋体" w:hAnsi="宋体" w:eastAsia="宋体" w:cs="宋体"/>
          <w:kern w:val="0"/>
          <w:sz w:val="32"/>
          <w:szCs w:val="32"/>
          <w:lang w:eastAsia="zh-CN"/>
        </w:rPr>
        <w:t>十五</w:t>
      </w:r>
      <w:r>
        <w:rPr>
          <w:rFonts w:hint="eastAsia" w:ascii="宋体" w:hAnsi="宋体" w:eastAsia="宋体" w:cs="宋体"/>
          <w:kern w:val="0"/>
          <w:sz w:val="32"/>
          <w:szCs w:val="32"/>
        </w:rPr>
        <w:t>日</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rPr>
        <mc:AlternateContent>
          <mc:Choice Requires="wps">
            <w:drawing>
              <wp:anchor distT="0" distB="0" distL="114300" distR="114300" simplePos="0" relativeHeight="251664384" behindDoc="0" locked="0" layoutInCell="1" allowOverlap="1">
                <wp:simplePos x="0" y="0"/>
                <wp:positionH relativeFrom="column">
                  <wp:posOffset>-206375</wp:posOffset>
                </wp:positionH>
                <wp:positionV relativeFrom="paragraph">
                  <wp:posOffset>387985</wp:posOffset>
                </wp:positionV>
                <wp:extent cx="5715000" cy="0"/>
                <wp:effectExtent l="0" t="13970" r="0" b="2413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FF0000"/>
                          </a:solidFill>
                          <a:round/>
                        </a:ln>
                        <a:effectLst/>
                      </wps:spPr>
                      <wps:bodyPr/>
                    </wps:wsp>
                  </a:graphicData>
                </a:graphic>
              </wp:anchor>
            </w:drawing>
          </mc:Choice>
          <mc:Fallback>
            <w:pict>
              <v:line id="_x0000_s1026" o:spid="_x0000_s1026" o:spt="20" style="position:absolute;left:0pt;margin-left:-16.25pt;margin-top:30.55pt;height:0pt;width:450pt;z-index:251664384;mso-width-relative:page;mso-height-relative:page;" filled="f" stroked="t" coordsize="21600,21600" o:gfxdata="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8B4AVdYAAAAJAQAADwAAAAAAAAABACAAAAAiAAAA&#10;ZHJzL2Rvd25yZXYueG1sUEsBAhQAFAAAAAgAh07iQEQE1ObQAQAAawMAAA4AAAAAAAAAAQAgAAAA&#10;JQEAAGRycy9lMm9Eb2MueG1sUEsFBgAAAAAGAAYAWQEAAGcFAAAAAA==&#10;">
                <v:fill on="f" focussize="0,0"/>
                <v:stroke weight="2.25pt" color="#FF0000" joinstyle="round"/>
                <v:imagedata o:title=""/>
                <o:lock v:ext="edit" aspectratio="f"/>
              </v:line>
            </w:pict>
          </mc:Fallback>
        </mc:AlternateContent>
      </w:r>
      <w:r>
        <w:rPr>
          <w:rFonts w:hint="eastAsia" w:asciiTheme="minorEastAsia" w:hAnsiTheme="minorEastAsia" w:eastAsiaTheme="minorEastAsia" w:cstheme="minorEastAsia"/>
          <w:kern w:val="0"/>
          <w:sz w:val="30"/>
          <w:szCs w:val="30"/>
        </w:rPr>
        <w:t>主题词：</w:t>
      </w:r>
      <w:r>
        <w:rPr>
          <w:rFonts w:hint="eastAsia" w:asciiTheme="minorEastAsia" w:hAnsiTheme="minorEastAsia" w:eastAsiaTheme="minorEastAsia" w:cstheme="minorEastAsia"/>
          <w:kern w:val="0"/>
          <w:sz w:val="30"/>
          <w:szCs w:val="30"/>
          <w:lang w:eastAsia="zh-CN"/>
        </w:rPr>
        <w:t>协会物业服务评估监理管理办法</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asciiTheme="minorEastAsia" w:hAnsiTheme="minorEastAsia" w:eastAsiaTheme="minorEastAsia" w:cstheme="minorEastAsia"/>
          <w:kern w:val="0"/>
          <w:sz w:val="30"/>
          <w:szCs w:val="30"/>
          <w:lang w:eastAsia="zh-CN"/>
        </w:rPr>
      </w:pPr>
      <w:r>
        <w:rPr>
          <w:rFonts w:hint="eastAsia" w:asciiTheme="minorEastAsia" w:hAnsiTheme="minorEastAsia" w:eastAsiaTheme="minorEastAsia" w:cstheme="minorEastAsia"/>
          <w:kern w:val="0"/>
          <w:sz w:val="30"/>
          <w:szCs w:val="30"/>
        </w:rPr>
        <w:t>主</w:t>
      </w:r>
      <w:r>
        <w:rPr>
          <w:rFonts w:hint="eastAsia" w:asciiTheme="minorEastAsia" w:hAnsiTheme="minorEastAsia" w:eastAsiaTheme="minorEastAsia" w:cstheme="minorEastAsia"/>
          <w:kern w:val="0"/>
          <w:sz w:val="30"/>
          <w:szCs w:val="30"/>
          <w:lang w:val="en-US" w:eastAsia="zh-CN"/>
        </w:rPr>
        <w:t xml:space="preserve">  </w:t>
      </w:r>
      <w:r>
        <w:rPr>
          <w:rFonts w:hint="eastAsia" w:asciiTheme="minorEastAsia" w:hAnsiTheme="minorEastAsia" w:eastAsiaTheme="minorEastAsia" w:cstheme="minorEastAsia"/>
          <w:kern w:val="0"/>
          <w:sz w:val="30"/>
          <w:szCs w:val="30"/>
        </w:rPr>
        <w:t>送：</w:t>
      </w:r>
      <w:r>
        <w:rPr>
          <w:rFonts w:hint="eastAsia" w:asciiTheme="minorEastAsia" w:hAnsiTheme="minorEastAsia" w:eastAsiaTheme="minorEastAsia" w:cstheme="minorEastAsia"/>
          <w:kern w:val="0"/>
          <w:sz w:val="30"/>
          <w:szCs w:val="30"/>
          <w:lang w:eastAsia="zh-CN"/>
        </w:rPr>
        <w:t>各会员机构</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asciiTheme="minorEastAsia" w:hAnsiTheme="minorEastAsia" w:eastAsiaTheme="minorEastAsia" w:cstheme="minorEastAsia"/>
          <w:kern w:val="0"/>
          <w:sz w:val="30"/>
          <w:szCs w:val="30"/>
        </w:rPr>
      </w:pPr>
      <w:r>
        <w:rPr>
          <w:rFonts w:hint="eastAsia" w:asciiTheme="minorEastAsia" w:hAnsiTheme="minorEastAsia" w:eastAsiaTheme="minorEastAsia" w:cstheme="minorEastAsia"/>
          <w:kern w:val="0"/>
          <w:sz w:val="30"/>
          <w:szCs w:val="30"/>
        </w:rPr>
        <w:t>抄</w:t>
      </w:r>
      <w:r>
        <w:rPr>
          <w:rFonts w:hint="eastAsia" w:asciiTheme="minorEastAsia" w:hAnsiTheme="minorEastAsia" w:eastAsiaTheme="minorEastAsia" w:cstheme="minorEastAsia"/>
          <w:kern w:val="0"/>
          <w:sz w:val="30"/>
          <w:szCs w:val="30"/>
          <w:lang w:val="en-US" w:eastAsia="zh-CN"/>
        </w:rPr>
        <w:t xml:space="preserve">  </w:t>
      </w:r>
      <w:r>
        <w:rPr>
          <w:rFonts w:hint="eastAsia" w:asciiTheme="minorEastAsia" w:hAnsiTheme="minorEastAsia" w:eastAsiaTheme="minorEastAsia" w:cstheme="minorEastAsia"/>
          <w:kern w:val="0"/>
          <w:sz w:val="30"/>
          <w:szCs w:val="30"/>
        </w:rPr>
        <w:t>报：</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cs="宋体"/>
          <w:kern w:val="0"/>
          <w:sz w:val="32"/>
          <w:szCs w:val="32"/>
          <w:lang w:eastAsia="zh-CN"/>
        </w:rPr>
      </w:pPr>
      <w:r>
        <w:rPr>
          <w:rFonts w:hint="eastAsia" w:asciiTheme="minorEastAsia" w:hAnsiTheme="minorEastAsia" w:eastAsiaTheme="minorEastAsia" w:cstheme="minorEastAsia"/>
          <w:kern w:val="0"/>
          <w:sz w:val="30"/>
          <w:szCs w:val="30"/>
        </w:rPr>
        <mc:AlternateContent>
          <mc:Choice Requires="wps">
            <w:drawing>
              <wp:anchor distT="0" distB="0" distL="114300" distR="114300" simplePos="0" relativeHeight="251665408" behindDoc="0" locked="0" layoutInCell="1" allowOverlap="1">
                <wp:simplePos x="0" y="0"/>
                <wp:positionH relativeFrom="column">
                  <wp:posOffset>-190500</wp:posOffset>
                </wp:positionH>
                <wp:positionV relativeFrom="paragraph">
                  <wp:posOffset>-3810</wp:posOffset>
                </wp:positionV>
                <wp:extent cx="5715000" cy="0"/>
                <wp:effectExtent l="0" t="13970" r="0" b="2413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FF0000"/>
                          </a:solidFill>
                          <a:round/>
                        </a:ln>
                        <a:effectLst/>
                      </wps:spPr>
                      <wps:bodyPr/>
                    </wps:wsp>
                  </a:graphicData>
                </a:graphic>
              </wp:anchor>
            </w:drawing>
          </mc:Choice>
          <mc:Fallback>
            <w:pict>
              <v:line id="_x0000_s1026" o:spid="_x0000_s1026" o:spt="20" style="position:absolute;left:0pt;margin-left:-15pt;margin-top:-0.3pt;height:0pt;width:450pt;z-index:251665408;mso-width-relative:page;mso-height-relative:page;" filled="f" stroked="t" coordsize="21600,21600" o:gfxdata="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&#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CHhb3UAAAABwEAAA8AAAAAAAAAAQAgAAAAIgAAAGRy&#10;cy9kb3ducmV2LnhtbFBLAQIUABQAAAAIAIdO4kCAOSXZ0AEAAGsDAAAOAAAAAAAAAAEAIAAAACMB&#10;AABkcnMvZTJvRG9jLnhtbFBLBQYAAAAABgAGAFkBAABlBQAAAAA=&#10;">
                <v:fill on="f" focussize="0,0"/>
                <v:stroke weight="2.25pt" color="#FF0000" joinstyle="round"/>
                <v:imagedata o:title=""/>
                <o:lock v:ext="edit" aspectratio="f"/>
              </v:line>
            </w:pict>
          </mc:Fallback>
        </mc:AlternateContent>
      </w:r>
      <w:r>
        <w:rPr>
          <w:rFonts w:hint="eastAsia" w:asciiTheme="minorEastAsia" w:hAnsiTheme="minorEastAsia" w:eastAsiaTheme="minorEastAsia" w:cstheme="minorEastAsia"/>
          <w:kern w:val="0"/>
          <w:sz w:val="30"/>
          <w:szCs w:val="30"/>
        </w:rPr>
        <w:t xml:space="preserve">北京市物业服务评估监理协会秘书处       </w:t>
      </w:r>
      <w:r>
        <w:rPr>
          <w:rFonts w:hint="eastAsia" w:asciiTheme="minorEastAsia" w:hAnsiTheme="minorEastAsia" w:eastAsiaTheme="minorEastAsia" w:cstheme="minorEastAsia"/>
          <w:kern w:val="0"/>
          <w:sz w:val="30"/>
          <w:szCs w:val="30"/>
          <w:lang w:val="en-US" w:eastAsia="zh-CN"/>
        </w:rPr>
        <w:t xml:space="preserve">  </w:t>
      </w:r>
      <w:r>
        <w:rPr>
          <w:rFonts w:hint="eastAsia" w:asciiTheme="minorEastAsia" w:hAnsiTheme="minorEastAsia" w:eastAsiaTheme="minorEastAsia" w:cstheme="minorEastAsia"/>
          <w:kern w:val="0"/>
          <w:sz w:val="30"/>
          <w:szCs w:val="30"/>
        </w:rPr>
        <w:t>201</w:t>
      </w:r>
      <w:r>
        <w:rPr>
          <w:rFonts w:hint="eastAsia" w:asciiTheme="minorEastAsia" w:hAnsiTheme="minorEastAsia" w:eastAsiaTheme="minorEastAsia" w:cstheme="minorEastAsia"/>
          <w:kern w:val="0"/>
          <w:sz w:val="30"/>
          <w:szCs w:val="30"/>
          <w:lang w:val="en-US" w:eastAsia="zh-CN"/>
        </w:rPr>
        <w:t>9</w:t>
      </w:r>
      <w:r>
        <w:rPr>
          <w:rFonts w:hint="eastAsia" w:asciiTheme="minorEastAsia" w:hAnsiTheme="minorEastAsia" w:eastAsiaTheme="minorEastAsia" w:cstheme="minorEastAsia"/>
          <w:kern w:val="0"/>
          <w:sz w:val="30"/>
          <w:szCs w:val="30"/>
        </w:rPr>
        <w:t>年</w:t>
      </w:r>
      <w:r>
        <w:rPr>
          <w:rFonts w:hint="eastAsia" w:asciiTheme="minorEastAsia" w:hAnsiTheme="minorEastAsia" w:eastAsiaTheme="minorEastAsia" w:cstheme="minorEastAsia"/>
          <w:kern w:val="0"/>
          <w:sz w:val="30"/>
          <w:szCs w:val="30"/>
          <w:lang w:val="en-US" w:eastAsia="zh-CN"/>
        </w:rPr>
        <w:t>1</w:t>
      </w:r>
      <w:r>
        <w:rPr>
          <w:rFonts w:hint="eastAsia" w:asciiTheme="minorEastAsia" w:hAnsiTheme="minorEastAsia" w:eastAsiaTheme="minorEastAsia" w:cstheme="minorEastAsia"/>
          <w:kern w:val="0"/>
          <w:sz w:val="30"/>
          <w:szCs w:val="30"/>
        </w:rPr>
        <w:t>月</w:t>
      </w:r>
      <w:r>
        <w:rPr>
          <w:rFonts w:hint="eastAsia" w:asciiTheme="minorEastAsia" w:hAnsiTheme="minorEastAsia" w:eastAsiaTheme="minorEastAsia" w:cstheme="minorEastAsia"/>
          <w:kern w:val="0"/>
          <w:sz w:val="30"/>
          <w:szCs w:val="30"/>
          <w:lang w:val="en-US" w:eastAsia="zh-CN"/>
        </w:rPr>
        <w:t>1</w:t>
      </w:r>
      <w:r>
        <w:rPr>
          <w:rFonts w:hint="eastAsia" w:asciiTheme="minorEastAsia" w:hAnsiTheme="minorEastAsia" w:eastAsiaTheme="minorEastAsia" w:cstheme="minorEastAsia"/>
          <w:kern w:val="0"/>
          <w:sz w:val="30"/>
          <w:szCs w:val="30"/>
        </w:rPr>
        <w:t>日发</w:t>
      </w:r>
    </w:p>
    <w:p>
      <w:pPr>
        <w:pStyle w:val="2"/>
        <w:shd w:val="clear" w:color="auto" w:fill="FFFFFF"/>
        <w:spacing w:line="440" w:lineRule="exact"/>
        <w:jc w:val="center"/>
        <w:rPr>
          <w:rStyle w:val="4"/>
          <w:rFonts w:hint="eastAsia" w:eastAsia="宋体"/>
          <w:sz w:val="44"/>
          <w:szCs w:val="44"/>
          <w:lang w:val="en-US" w:eastAsia="zh-CN"/>
        </w:rPr>
      </w:pPr>
      <w:r>
        <w:rPr>
          <w:rStyle w:val="4"/>
          <w:rFonts w:hint="eastAsia"/>
          <w:sz w:val="44"/>
          <w:szCs w:val="44"/>
          <w:lang w:eastAsia="zh-CN"/>
        </w:rPr>
        <w:t>《协会物业服务评估监理管理办法》</w:t>
      </w:r>
    </w:p>
    <w:p>
      <w:pPr>
        <w:pStyle w:val="2"/>
        <w:shd w:val="clear" w:color="auto" w:fill="FFFFFF"/>
        <w:spacing w:line="440" w:lineRule="exact"/>
        <w:jc w:val="center"/>
        <w:rPr>
          <w:sz w:val="32"/>
          <w:szCs w:val="32"/>
        </w:rPr>
      </w:pPr>
      <w:r>
        <w:rPr>
          <w:rStyle w:val="4"/>
          <w:sz w:val="32"/>
          <w:szCs w:val="32"/>
        </w:rPr>
        <w:t>第一章 总则</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3" w:firstLineChars="200"/>
        <w:jc w:val="both"/>
        <w:textAlignment w:val="auto"/>
        <w:outlineLvl w:val="9"/>
        <w:rPr>
          <w:sz w:val="32"/>
          <w:szCs w:val="32"/>
        </w:rPr>
      </w:pPr>
      <w:r>
        <w:rPr>
          <w:b/>
          <w:bCs/>
          <w:sz w:val="32"/>
          <w:szCs w:val="32"/>
        </w:rPr>
        <w:t>第一条</w:t>
      </w:r>
      <w:r>
        <w:rPr>
          <w:sz w:val="32"/>
          <w:szCs w:val="32"/>
        </w:rPr>
        <w:t xml:space="preserve"> 为了规范</w:t>
      </w:r>
      <w:r>
        <w:rPr>
          <w:rFonts w:hint="eastAsia"/>
          <w:sz w:val="32"/>
          <w:szCs w:val="32"/>
          <w:lang w:eastAsia="zh-CN"/>
        </w:rPr>
        <w:t>本市</w:t>
      </w:r>
      <w:r>
        <w:rPr>
          <w:sz w:val="32"/>
          <w:szCs w:val="32"/>
        </w:rPr>
        <w:t>物业服务活动，维护业主</w:t>
      </w:r>
      <w:r>
        <w:rPr>
          <w:rFonts w:hint="eastAsia"/>
          <w:sz w:val="32"/>
          <w:szCs w:val="32"/>
          <w:lang w:eastAsia="zh-CN"/>
        </w:rPr>
        <w:t>方</w:t>
      </w:r>
      <w:r>
        <w:rPr>
          <w:sz w:val="32"/>
          <w:szCs w:val="32"/>
        </w:rPr>
        <w:t>、建设单位、物业服务企业</w:t>
      </w:r>
      <w:r>
        <w:rPr>
          <w:rFonts w:hint="eastAsia"/>
          <w:sz w:val="32"/>
          <w:szCs w:val="32"/>
          <w:lang w:eastAsia="zh-CN"/>
        </w:rPr>
        <w:t>（以下简称委托人）</w:t>
      </w:r>
      <w:r>
        <w:rPr>
          <w:sz w:val="32"/>
          <w:szCs w:val="32"/>
        </w:rPr>
        <w:t>的合法权益，建立和完善质价相符的物业服务市场机制，促进物业管理行业健康有序发展，根据《</w:t>
      </w:r>
      <w:r>
        <w:rPr>
          <w:sz w:val="32"/>
          <w:szCs w:val="32"/>
        </w:rPr>
        <w:fldChar w:fldCharType="begin"/>
      </w:r>
      <w:r>
        <w:rPr>
          <w:sz w:val="32"/>
          <w:szCs w:val="32"/>
        </w:rPr>
        <w:instrText xml:space="preserve"> HYPERLINK "http://www.pmedu.org/laws/3955.html" \o "" \t "_blank" </w:instrText>
      </w:r>
      <w:r>
        <w:rPr>
          <w:sz w:val="32"/>
          <w:szCs w:val="32"/>
        </w:rPr>
        <w:fldChar w:fldCharType="separate"/>
      </w:r>
      <w:r>
        <w:rPr>
          <w:rStyle w:val="5"/>
          <w:sz w:val="32"/>
          <w:szCs w:val="32"/>
        </w:rPr>
        <w:t>北京市物业管理办法</w:t>
      </w:r>
      <w:r>
        <w:rPr>
          <w:sz w:val="32"/>
          <w:szCs w:val="32"/>
        </w:rPr>
        <w:fldChar w:fldCharType="end"/>
      </w:r>
      <w:r>
        <w:rPr>
          <w:sz w:val="32"/>
          <w:szCs w:val="32"/>
        </w:rPr>
        <w:t>》(北京市人民政府219号令)及有关法律、法规和规章，制定本办法。</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3" w:firstLineChars="200"/>
        <w:jc w:val="both"/>
        <w:textAlignment w:val="auto"/>
        <w:outlineLvl w:val="9"/>
        <w:rPr>
          <w:sz w:val="32"/>
          <w:szCs w:val="32"/>
        </w:rPr>
      </w:pPr>
      <w:r>
        <w:rPr>
          <w:b/>
          <w:bCs/>
          <w:sz w:val="32"/>
          <w:szCs w:val="32"/>
        </w:rPr>
        <w:t>第二条</w:t>
      </w:r>
      <w:r>
        <w:rPr>
          <w:rFonts w:hint="eastAsia"/>
          <w:sz w:val="32"/>
          <w:szCs w:val="32"/>
          <w:lang w:val="en-US" w:eastAsia="zh-CN"/>
        </w:rPr>
        <w:t xml:space="preserve"> </w:t>
      </w:r>
      <w:r>
        <w:rPr>
          <w:sz w:val="32"/>
          <w:szCs w:val="32"/>
        </w:rPr>
        <w:t>本办法所称物业服务评估监理，是指物业服务评估监理机构接受</w:t>
      </w:r>
      <w:r>
        <w:rPr>
          <w:rFonts w:hint="eastAsia"/>
          <w:sz w:val="32"/>
          <w:szCs w:val="32"/>
          <w:lang w:eastAsia="zh-CN"/>
        </w:rPr>
        <w:t>委托人</w:t>
      </w:r>
      <w:r>
        <w:rPr>
          <w:sz w:val="32"/>
          <w:szCs w:val="32"/>
        </w:rPr>
        <w:t>或有关部门的委托，依照法律、法规和合同约定，对物业服务质量和服务费用、物业共用部位和共用设施设备</w:t>
      </w:r>
      <w:r>
        <w:rPr>
          <w:rFonts w:hint="eastAsia"/>
          <w:sz w:val="32"/>
          <w:szCs w:val="32"/>
          <w:lang w:eastAsia="zh-CN"/>
        </w:rPr>
        <w:t>建设、</w:t>
      </w:r>
      <w:r>
        <w:rPr>
          <w:sz w:val="32"/>
          <w:szCs w:val="32"/>
        </w:rPr>
        <w:t>管理状况等提供专业</w:t>
      </w:r>
      <w:r>
        <w:rPr>
          <w:rFonts w:hint="eastAsia"/>
          <w:sz w:val="32"/>
          <w:szCs w:val="32"/>
          <w:lang w:eastAsia="zh-CN"/>
        </w:rPr>
        <w:t>服务</w:t>
      </w:r>
      <w:r>
        <w:rPr>
          <w:sz w:val="32"/>
          <w:szCs w:val="32"/>
        </w:rPr>
        <w:t>评估监理服务的活动。</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3" w:firstLineChars="200"/>
        <w:jc w:val="both"/>
        <w:textAlignment w:val="auto"/>
        <w:outlineLvl w:val="9"/>
        <w:rPr>
          <w:sz w:val="32"/>
          <w:szCs w:val="32"/>
        </w:rPr>
      </w:pPr>
      <w:r>
        <w:rPr>
          <w:b/>
          <w:bCs/>
          <w:sz w:val="32"/>
          <w:szCs w:val="32"/>
        </w:rPr>
        <w:t>第三条</w:t>
      </w:r>
      <w:r>
        <w:rPr>
          <w:sz w:val="32"/>
          <w:szCs w:val="32"/>
        </w:rPr>
        <w:t xml:space="preserve"> </w:t>
      </w:r>
      <w:r>
        <w:rPr>
          <w:rFonts w:hint="eastAsia"/>
          <w:sz w:val="32"/>
          <w:szCs w:val="32"/>
          <w:lang w:eastAsia="zh-CN"/>
        </w:rPr>
        <w:t>协会</w:t>
      </w:r>
      <w:r>
        <w:rPr>
          <w:sz w:val="32"/>
          <w:szCs w:val="32"/>
        </w:rPr>
        <w:t>积极培育</w:t>
      </w:r>
      <w:r>
        <w:rPr>
          <w:rFonts w:hint="eastAsia"/>
          <w:sz w:val="32"/>
          <w:szCs w:val="32"/>
          <w:lang w:eastAsia="zh-CN"/>
        </w:rPr>
        <w:t>所属</w:t>
      </w:r>
      <w:r>
        <w:rPr>
          <w:sz w:val="32"/>
          <w:szCs w:val="32"/>
        </w:rPr>
        <w:t>物业服务评估监理机构；鼓励物业服务各方权益主体在确定物业项目收费标准、物业</w:t>
      </w:r>
      <w:r>
        <w:rPr>
          <w:rFonts w:hint="eastAsia"/>
          <w:sz w:val="32"/>
          <w:szCs w:val="32"/>
          <w:lang w:eastAsia="zh-CN"/>
        </w:rPr>
        <w:t>服务质量及承接</w:t>
      </w:r>
      <w:r>
        <w:rPr>
          <w:sz w:val="32"/>
          <w:szCs w:val="32"/>
        </w:rPr>
        <w:t>查验等</w:t>
      </w:r>
      <w:r>
        <w:rPr>
          <w:rFonts w:hint="eastAsia"/>
          <w:sz w:val="32"/>
          <w:szCs w:val="32"/>
          <w:lang w:eastAsia="zh-CN"/>
        </w:rPr>
        <w:t>物业服务评估监理</w:t>
      </w:r>
      <w:r>
        <w:rPr>
          <w:sz w:val="32"/>
          <w:szCs w:val="32"/>
        </w:rPr>
        <w:t>全过程，委托</w:t>
      </w:r>
      <w:r>
        <w:rPr>
          <w:rFonts w:hint="eastAsia"/>
          <w:sz w:val="32"/>
          <w:szCs w:val="32"/>
          <w:lang w:eastAsia="zh-CN"/>
        </w:rPr>
        <w:t>物业服务</w:t>
      </w:r>
      <w:r>
        <w:rPr>
          <w:sz w:val="32"/>
          <w:szCs w:val="32"/>
        </w:rPr>
        <w:t>评估监理机构进行</w:t>
      </w:r>
      <w:r>
        <w:rPr>
          <w:rFonts w:hint="eastAsia"/>
          <w:sz w:val="32"/>
          <w:szCs w:val="32"/>
          <w:lang w:eastAsia="zh-CN"/>
        </w:rPr>
        <w:t>客观公正的</w:t>
      </w:r>
      <w:r>
        <w:rPr>
          <w:sz w:val="32"/>
          <w:szCs w:val="32"/>
        </w:rPr>
        <w:t>评估监理</w:t>
      </w:r>
      <w:r>
        <w:rPr>
          <w:rFonts w:hint="eastAsia"/>
          <w:sz w:val="32"/>
          <w:szCs w:val="32"/>
          <w:lang w:eastAsia="zh-CN"/>
        </w:rPr>
        <w:t>工作</w:t>
      </w:r>
      <w:r>
        <w:rPr>
          <w:sz w:val="32"/>
          <w:szCs w:val="32"/>
        </w:rPr>
        <w:t>。</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0" w:firstLineChars="200"/>
        <w:jc w:val="both"/>
        <w:textAlignment w:val="auto"/>
        <w:outlineLvl w:val="9"/>
        <w:rPr>
          <w:rStyle w:val="4"/>
          <w:rFonts w:hint="eastAsia"/>
          <w:b w:val="0"/>
          <w:bCs w:val="0"/>
          <w:sz w:val="32"/>
          <w:szCs w:val="32"/>
        </w:rPr>
      </w:pPr>
      <w:r>
        <w:rPr>
          <w:sz w:val="32"/>
          <w:szCs w:val="32"/>
        </w:rPr>
        <w:t>物业服务评估监理机构</w:t>
      </w:r>
      <w:r>
        <w:rPr>
          <w:rFonts w:hint="eastAsia"/>
          <w:sz w:val="32"/>
          <w:szCs w:val="32"/>
          <w:lang w:eastAsia="zh-CN"/>
        </w:rPr>
        <w:t>必须</w:t>
      </w:r>
      <w:r>
        <w:rPr>
          <w:sz w:val="32"/>
          <w:szCs w:val="32"/>
        </w:rPr>
        <w:t>遵循客观、公正的原则</w:t>
      </w:r>
      <w:r>
        <w:rPr>
          <w:rFonts w:hint="eastAsia"/>
          <w:sz w:val="32"/>
          <w:szCs w:val="32"/>
          <w:lang w:eastAsia="zh-CN"/>
        </w:rPr>
        <w:t>，独立</w:t>
      </w:r>
      <w:r>
        <w:rPr>
          <w:sz w:val="32"/>
          <w:szCs w:val="32"/>
        </w:rPr>
        <w:t>从事物业服务评估监理活动</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jc w:val="center"/>
        <w:textAlignment w:val="auto"/>
        <w:outlineLvl w:val="9"/>
        <w:rPr>
          <w:sz w:val="32"/>
          <w:szCs w:val="32"/>
        </w:rPr>
      </w:pPr>
      <w:r>
        <w:rPr>
          <w:rStyle w:val="4"/>
          <w:sz w:val="32"/>
          <w:szCs w:val="32"/>
        </w:rPr>
        <w:t>第二章 物业服务评估监理活动</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3" w:firstLineChars="200"/>
        <w:jc w:val="both"/>
        <w:textAlignment w:val="auto"/>
        <w:outlineLvl w:val="9"/>
        <w:rPr>
          <w:sz w:val="32"/>
          <w:szCs w:val="32"/>
        </w:rPr>
      </w:pPr>
      <w:r>
        <w:rPr>
          <w:b/>
          <w:bCs/>
          <w:sz w:val="32"/>
          <w:szCs w:val="32"/>
        </w:rPr>
        <w:t>第四条</w:t>
      </w:r>
      <w:r>
        <w:rPr>
          <w:sz w:val="32"/>
          <w:szCs w:val="32"/>
        </w:rPr>
        <w:t xml:space="preserve"> 物业服务评估监理机构接受委托从事物业服务评估监理活动，应当与委托人签订书面评估监理委托合同，约定评估监理服务内容及费用。</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0" w:firstLineChars="200"/>
        <w:jc w:val="both"/>
        <w:textAlignment w:val="auto"/>
        <w:outlineLvl w:val="9"/>
        <w:rPr>
          <w:sz w:val="32"/>
          <w:szCs w:val="32"/>
        </w:rPr>
      </w:pPr>
      <w:r>
        <w:rPr>
          <w:sz w:val="32"/>
          <w:szCs w:val="32"/>
        </w:rPr>
        <w:t>委托人应当提供与委托事项有关的证明材料。</w:t>
      </w:r>
      <w:r>
        <w:rPr>
          <w:rFonts w:hint="eastAsia"/>
          <w:sz w:val="32"/>
          <w:szCs w:val="32"/>
          <w:lang w:eastAsia="zh-CN"/>
        </w:rPr>
        <w:t>委托人</w:t>
      </w:r>
      <w:r>
        <w:rPr>
          <w:sz w:val="32"/>
          <w:szCs w:val="32"/>
        </w:rPr>
        <w:t>应当提供身份证明、房屋权属证明；</w:t>
      </w:r>
      <w:r>
        <w:rPr>
          <w:rFonts w:hint="eastAsia"/>
          <w:sz w:val="32"/>
          <w:szCs w:val="32"/>
          <w:lang w:eastAsia="zh-CN"/>
        </w:rPr>
        <w:t>必要时委托</w:t>
      </w:r>
      <w:r>
        <w:rPr>
          <w:sz w:val="32"/>
          <w:szCs w:val="32"/>
        </w:rPr>
        <w:t>单位应当提供有关行政主管部门核发的立项、用地、规划等许可证明；物业服务企业应当提供物业服务合同。</w:t>
      </w:r>
    </w:p>
    <w:p>
      <w:pPr>
        <w:pStyle w:val="2"/>
        <w:keepNext w:val="0"/>
        <w:keepLines w:val="0"/>
        <w:pageBreakBefore w:val="0"/>
        <w:widowControl/>
        <w:shd w:val="clear" w:color="auto" w:fill="FFFFFF"/>
        <w:kinsoku/>
        <w:wordWrap/>
        <w:overflowPunct/>
        <w:topLinePunct w:val="0"/>
        <w:autoSpaceDE/>
        <w:autoSpaceDN/>
        <w:bidi w:val="0"/>
        <w:adjustRightInd/>
        <w:snapToGrid/>
        <w:spacing w:before="157" w:beforeLines="50" w:beforeAutospacing="0" w:afterAutospacing="0" w:line="440" w:lineRule="exact"/>
        <w:ind w:firstLine="643" w:firstLineChars="200"/>
        <w:jc w:val="both"/>
        <w:textAlignment w:val="auto"/>
        <w:outlineLvl w:val="9"/>
        <w:rPr>
          <w:sz w:val="32"/>
          <w:szCs w:val="32"/>
        </w:rPr>
      </w:pPr>
      <w:r>
        <w:rPr>
          <w:b/>
          <w:bCs/>
          <w:sz w:val="32"/>
          <w:szCs w:val="32"/>
        </w:rPr>
        <w:t>第五条</w:t>
      </w:r>
      <w:r>
        <w:rPr>
          <w:sz w:val="32"/>
          <w:szCs w:val="32"/>
        </w:rPr>
        <w:t xml:space="preserve"> 物业服务评估监理业务范围包括：</w:t>
      </w:r>
    </w:p>
    <w:p>
      <w:pPr>
        <w:pStyle w:val="2"/>
        <w:keepNext w:val="0"/>
        <w:keepLines w:val="0"/>
        <w:pageBreakBefore w:val="0"/>
        <w:widowControl/>
        <w:shd w:val="clear" w:color="auto" w:fill="FFFFFF"/>
        <w:kinsoku/>
        <w:wordWrap/>
        <w:overflowPunct/>
        <w:topLinePunct w:val="0"/>
        <w:autoSpaceDE/>
        <w:autoSpaceDN/>
        <w:bidi w:val="0"/>
        <w:adjustRightInd/>
        <w:snapToGrid/>
        <w:spacing w:before="120" w:beforeAutospacing="0" w:after="120" w:afterAutospacing="0" w:line="440" w:lineRule="exact"/>
        <w:ind w:firstLine="640" w:firstLineChars="200"/>
        <w:jc w:val="both"/>
        <w:textAlignment w:val="auto"/>
        <w:outlineLvl w:val="9"/>
        <w:rPr>
          <w:sz w:val="32"/>
          <w:szCs w:val="32"/>
        </w:rPr>
      </w:pPr>
      <w:r>
        <w:rPr>
          <w:sz w:val="32"/>
          <w:szCs w:val="32"/>
        </w:rPr>
        <w:t>(</w:t>
      </w:r>
      <w:r>
        <w:rPr>
          <w:rFonts w:hint="eastAsia"/>
          <w:sz w:val="32"/>
          <w:szCs w:val="32"/>
          <w:lang w:eastAsia="zh-CN"/>
        </w:rPr>
        <w:t>一</w:t>
      </w:r>
      <w:r>
        <w:rPr>
          <w:sz w:val="32"/>
          <w:szCs w:val="32"/>
        </w:rPr>
        <w:t>)物业服务费用评估；</w:t>
      </w:r>
    </w:p>
    <w:p>
      <w:pPr>
        <w:pStyle w:val="2"/>
        <w:keepNext w:val="0"/>
        <w:keepLines w:val="0"/>
        <w:pageBreakBefore w:val="0"/>
        <w:widowControl/>
        <w:shd w:val="clear" w:color="auto" w:fill="FFFFFF"/>
        <w:kinsoku/>
        <w:wordWrap/>
        <w:overflowPunct/>
        <w:topLinePunct w:val="0"/>
        <w:autoSpaceDE/>
        <w:autoSpaceDN/>
        <w:bidi w:val="0"/>
        <w:adjustRightInd/>
        <w:snapToGrid/>
        <w:spacing w:before="120" w:beforeAutospacing="0" w:after="120" w:afterAutospacing="0" w:line="440" w:lineRule="exact"/>
        <w:ind w:firstLine="640" w:firstLineChars="200"/>
        <w:jc w:val="both"/>
        <w:textAlignment w:val="auto"/>
        <w:outlineLvl w:val="9"/>
        <w:rPr>
          <w:sz w:val="32"/>
          <w:szCs w:val="32"/>
        </w:rPr>
      </w:pPr>
      <w:r>
        <w:rPr>
          <w:rFonts w:hint="eastAsia"/>
          <w:sz w:val="32"/>
          <w:szCs w:val="32"/>
          <w:lang w:val="en-US" w:eastAsia="zh-CN"/>
        </w:rPr>
        <w:t>(</w:t>
      </w:r>
      <w:r>
        <w:rPr>
          <w:rFonts w:hint="eastAsia"/>
          <w:sz w:val="32"/>
          <w:szCs w:val="32"/>
          <w:lang w:eastAsia="zh-CN"/>
        </w:rPr>
        <w:t>二</w:t>
      </w:r>
      <w:r>
        <w:rPr>
          <w:sz w:val="32"/>
          <w:szCs w:val="32"/>
        </w:rPr>
        <w:t>)物业服务质量评估；</w:t>
      </w:r>
    </w:p>
    <w:p>
      <w:pPr>
        <w:pStyle w:val="2"/>
        <w:keepNext w:val="0"/>
        <w:keepLines w:val="0"/>
        <w:pageBreakBefore w:val="0"/>
        <w:widowControl/>
        <w:shd w:val="clear" w:color="auto" w:fill="FFFFFF"/>
        <w:kinsoku/>
        <w:wordWrap/>
        <w:overflowPunct/>
        <w:topLinePunct w:val="0"/>
        <w:autoSpaceDE/>
        <w:autoSpaceDN/>
        <w:bidi w:val="0"/>
        <w:adjustRightInd/>
        <w:snapToGrid/>
        <w:spacing w:before="157" w:beforeLines="50" w:beforeAutospacing="0" w:after="120" w:afterAutospacing="0" w:line="440" w:lineRule="exact"/>
        <w:ind w:firstLine="640" w:firstLineChars="200"/>
        <w:jc w:val="both"/>
        <w:textAlignment w:val="auto"/>
        <w:outlineLvl w:val="9"/>
        <w:rPr>
          <w:sz w:val="32"/>
          <w:szCs w:val="32"/>
        </w:rPr>
      </w:pPr>
      <w:r>
        <w:rPr>
          <w:sz w:val="32"/>
          <w:szCs w:val="32"/>
        </w:rPr>
        <w:t>(</w:t>
      </w:r>
      <w:r>
        <w:rPr>
          <w:rFonts w:hint="eastAsia"/>
          <w:sz w:val="32"/>
          <w:szCs w:val="32"/>
          <w:lang w:eastAsia="zh-CN"/>
        </w:rPr>
        <w:t>三</w:t>
      </w:r>
      <w:r>
        <w:rPr>
          <w:sz w:val="32"/>
          <w:szCs w:val="32"/>
        </w:rPr>
        <w:t>)物业项目交接查验；</w:t>
      </w:r>
    </w:p>
    <w:p>
      <w:pPr>
        <w:pStyle w:val="2"/>
        <w:keepNext w:val="0"/>
        <w:keepLines w:val="0"/>
        <w:pageBreakBefore w:val="0"/>
        <w:widowControl/>
        <w:shd w:val="clear" w:color="auto" w:fill="FFFFFF"/>
        <w:kinsoku/>
        <w:wordWrap/>
        <w:overflowPunct/>
        <w:topLinePunct w:val="0"/>
        <w:autoSpaceDE/>
        <w:autoSpaceDN/>
        <w:bidi w:val="0"/>
        <w:adjustRightInd/>
        <w:snapToGrid/>
        <w:spacing w:before="120" w:beforeAutospacing="0" w:line="440" w:lineRule="exact"/>
        <w:ind w:firstLine="640" w:firstLineChars="200"/>
        <w:jc w:val="both"/>
        <w:textAlignment w:val="auto"/>
        <w:outlineLvl w:val="9"/>
        <w:rPr>
          <w:sz w:val="32"/>
          <w:szCs w:val="32"/>
        </w:rPr>
      </w:pPr>
      <w:r>
        <w:rPr>
          <w:sz w:val="32"/>
          <w:szCs w:val="32"/>
        </w:rPr>
        <w:t>(四)其他需要</w:t>
      </w:r>
      <w:r>
        <w:rPr>
          <w:rFonts w:hint="eastAsia"/>
          <w:sz w:val="32"/>
          <w:szCs w:val="32"/>
          <w:lang w:eastAsia="zh-CN"/>
        </w:rPr>
        <w:t>服务</w:t>
      </w:r>
      <w:r>
        <w:rPr>
          <w:sz w:val="32"/>
          <w:szCs w:val="32"/>
        </w:rPr>
        <w:t>评估监理的事项。</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3" w:firstLineChars="200"/>
        <w:jc w:val="both"/>
        <w:textAlignment w:val="auto"/>
        <w:outlineLvl w:val="9"/>
        <w:rPr>
          <w:sz w:val="32"/>
          <w:szCs w:val="32"/>
        </w:rPr>
      </w:pPr>
      <w:r>
        <w:rPr>
          <w:b/>
          <w:bCs/>
          <w:sz w:val="32"/>
          <w:szCs w:val="32"/>
        </w:rPr>
        <w:t>第六条</w:t>
      </w:r>
      <w:r>
        <w:rPr>
          <w:sz w:val="32"/>
          <w:szCs w:val="32"/>
        </w:rPr>
        <w:t xml:space="preserve"> 物业服务评估监理机构依据《</w:t>
      </w:r>
      <w:r>
        <w:rPr>
          <w:sz w:val="32"/>
          <w:szCs w:val="32"/>
        </w:rPr>
        <w:fldChar w:fldCharType="begin"/>
      </w:r>
      <w:r>
        <w:rPr>
          <w:sz w:val="32"/>
          <w:szCs w:val="32"/>
        </w:rPr>
        <w:instrText xml:space="preserve"> HYPERLINK "http://www.pmedu.org/Soft/65.html" \o "" \t "_blank" </w:instrText>
      </w:r>
      <w:r>
        <w:rPr>
          <w:sz w:val="32"/>
          <w:szCs w:val="32"/>
        </w:rPr>
        <w:fldChar w:fldCharType="separate"/>
      </w:r>
      <w:r>
        <w:rPr>
          <w:rStyle w:val="5"/>
          <w:sz w:val="32"/>
          <w:szCs w:val="32"/>
        </w:rPr>
        <w:t>北京市新建物业项目交接查验标准</w:t>
      </w:r>
      <w:r>
        <w:rPr>
          <w:sz w:val="32"/>
          <w:szCs w:val="32"/>
        </w:rPr>
        <w:fldChar w:fldCharType="end"/>
      </w:r>
      <w:r>
        <w:rPr>
          <w:sz w:val="32"/>
          <w:szCs w:val="32"/>
        </w:rPr>
        <w:t>》</w:t>
      </w:r>
      <w:r>
        <w:rPr>
          <w:rFonts w:hint="eastAsia"/>
          <w:sz w:val="32"/>
          <w:szCs w:val="32"/>
          <w:lang w:eastAsia="zh-CN"/>
        </w:rPr>
        <w:t>（</w:t>
      </w:r>
      <w:r>
        <w:rPr>
          <w:rFonts w:hint="eastAsia"/>
          <w:sz w:val="32"/>
          <w:szCs w:val="32"/>
          <w:lang w:val="en-US" w:eastAsia="zh-CN"/>
        </w:rPr>
        <w:t>DB11/T774-2010</w:t>
      </w:r>
      <w:r>
        <w:rPr>
          <w:rFonts w:hint="eastAsia"/>
          <w:sz w:val="32"/>
          <w:szCs w:val="32"/>
          <w:lang w:eastAsia="zh-CN"/>
        </w:rPr>
        <w:t>）</w:t>
      </w:r>
      <w:r>
        <w:rPr>
          <w:sz w:val="32"/>
          <w:szCs w:val="32"/>
        </w:rPr>
        <w:t>及其他相关规定，对物业管理区域内业主</w:t>
      </w:r>
      <w:r>
        <w:rPr>
          <w:rFonts w:hint="eastAsia"/>
          <w:sz w:val="32"/>
          <w:szCs w:val="32"/>
          <w:lang w:eastAsia="zh-CN"/>
        </w:rPr>
        <w:t>方</w:t>
      </w:r>
      <w:r>
        <w:rPr>
          <w:sz w:val="32"/>
          <w:szCs w:val="32"/>
        </w:rPr>
        <w:t>专有部分以外按照规定由业主</w:t>
      </w:r>
      <w:r>
        <w:rPr>
          <w:rFonts w:hint="eastAsia"/>
          <w:sz w:val="32"/>
          <w:szCs w:val="32"/>
          <w:lang w:eastAsia="zh-CN"/>
        </w:rPr>
        <w:t>方</w:t>
      </w:r>
      <w:r>
        <w:rPr>
          <w:sz w:val="32"/>
          <w:szCs w:val="32"/>
        </w:rPr>
        <w:t>共同管理的建筑物、构筑物及配套的设施设备和相关场地、物业项目图纸资料及设施设备运行维修记录等查验后出具查验报告。</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0" w:firstLineChars="200"/>
        <w:jc w:val="both"/>
        <w:textAlignment w:val="auto"/>
        <w:outlineLvl w:val="9"/>
        <w:rPr>
          <w:sz w:val="32"/>
          <w:szCs w:val="32"/>
        </w:rPr>
      </w:pPr>
      <w:r>
        <w:rPr>
          <w:sz w:val="32"/>
          <w:szCs w:val="32"/>
        </w:rPr>
        <w:t>业主</w:t>
      </w:r>
      <w:r>
        <w:rPr>
          <w:rFonts w:hint="eastAsia"/>
          <w:sz w:val="32"/>
          <w:szCs w:val="32"/>
          <w:lang w:eastAsia="zh-CN"/>
        </w:rPr>
        <w:t>方</w:t>
      </w:r>
      <w:r>
        <w:rPr>
          <w:sz w:val="32"/>
          <w:szCs w:val="32"/>
        </w:rPr>
        <w:t>选聘新的物业服务企业、其他管理人或自行管理时，可以共同委托物业服务评估监理机构进行查验。</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3" w:firstLineChars="200"/>
        <w:jc w:val="both"/>
        <w:textAlignment w:val="auto"/>
        <w:outlineLvl w:val="9"/>
        <w:rPr>
          <w:sz w:val="32"/>
          <w:szCs w:val="32"/>
        </w:rPr>
      </w:pPr>
      <w:r>
        <w:rPr>
          <w:b/>
          <w:bCs/>
          <w:sz w:val="32"/>
          <w:szCs w:val="32"/>
        </w:rPr>
        <w:t>第七条</w:t>
      </w:r>
      <w:r>
        <w:rPr>
          <w:sz w:val="32"/>
          <w:szCs w:val="32"/>
        </w:rPr>
        <w:t xml:space="preserve"> </w:t>
      </w:r>
      <w:r>
        <w:rPr>
          <w:rFonts w:hint="eastAsia"/>
          <w:sz w:val="32"/>
          <w:szCs w:val="32"/>
          <w:lang w:eastAsia="zh-CN"/>
        </w:rPr>
        <w:t>委托人选聘或协会从服务</w:t>
      </w:r>
      <w:r>
        <w:rPr>
          <w:sz w:val="32"/>
          <w:szCs w:val="32"/>
        </w:rPr>
        <w:t>评估监理机构名录中，</w:t>
      </w:r>
      <w:r>
        <w:rPr>
          <w:rFonts w:hint="eastAsia"/>
          <w:sz w:val="32"/>
          <w:szCs w:val="32"/>
          <w:lang w:eastAsia="zh-CN"/>
        </w:rPr>
        <w:t>选择确认</w:t>
      </w:r>
      <w:r>
        <w:rPr>
          <w:sz w:val="32"/>
          <w:szCs w:val="32"/>
        </w:rPr>
        <w:t>物业服务评估监理机构</w:t>
      </w:r>
      <w:r>
        <w:rPr>
          <w:rFonts w:hint="eastAsia"/>
          <w:sz w:val="32"/>
          <w:szCs w:val="32"/>
          <w:lang w:eastAsia="zh-CN"/>
        </w:rPr>
        <w:t>，</w:t>
      </w:r>
      <w:r>
        <w:rPr>
          <w:sz w:val="32"/>
          <w:szCs w:val="32"/>
        </w:rPr>
        <w:t>对</w:t>
      </w:r>
      <w:r>
        <w:rPr>
          <w:rFonts w:hint="eastAsia"/>
          <w:sz w:val="32"/>
          <w:szCs w:val="32"/>
          <w:lang w:eastAsia="zh-CN"/>
        </w:rPr>
        <w:t>物业</w:t>
      </w:r>
      <w:r>
        <w:rPr>
          <w:sz w:val="32"/>
          <w:szCs w:val="32"/>
        </w:rPr>
        <w:t>服务费用进行测算，测算结果应当在销售场所予以公示，并写入房屋买卖合同和前期物业服务合同。</w:t>
      </w:r>
      <w:r>
        <w:rPr>
          <w:rFonts w:hint="eastAsia"/>
          <w:sz w:val="32"/>
          <w:szCs w:val="32"/>
          <w:lang w:eastAsia="zh-CN"/>
        </w:rPr>
        <w:t>委托</w:t>
      </w:r>
      <w:r>
        <w:rPr>
          <w:sz w:val="32"/>
          <w:szCs w:val="32"/>
        </w:rPr>
        <w:t>单位应当同时向物业服务评估监理机构提供项目类型、建筑面积、共用设施设备情况、拟承诺的服务事项及标准等相关资料。</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3" w:firstLineChars="200"/>
        <w:jc w:val="both"/>
        <w:textAlignment w:val="auto"/>
        <w:outlineLvl w:val="9"/>
        <w:rPr>
          <w:rFonts w:hint="eastAsia" w:eastAsia="宋体"/>
          <w:sz w:val="32"/>
          <w:szCs w:val="32"/>
          <w:lang w:eastAsia="zh-CN"/>
        </w:rPr>
      </w:pPr>
      <w:r>
        <w:rPr>
          <w:b/>
          <w:bCs/>
          <w:sz w:val="32"/>
          <w:szCs w:val="32"/>
        </w:rPr>
        <w:t>第八条</w:t>
      </w:r>
      <w:r>
        <w:rPr>
          <w:sz w:val="32"/>
          <w:szCs w:val="32"/>
        </w:rPr>
        <w:t xml:space="preserve"> 物业服务评估监理机构根据相关法律、法规、服务规范、行业标准及物业服务合同约定等，对物业服务质量进行评估</w:t>
      </w:r>
      <w:r>
        <w:rPr>
          <w:rFonts w:hint="eastAsia"/>
          <w:sz w:val="32"/>
          <w:szCs w:val="32"/>
          <w:lang w:eastAsia="zh-CN"/>
        </w:rPr>
        <w:t>并定期对物业服务质量进行跟踪评估。</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3" w:firstLineChars="200"/>
        <w:jc w:val="both"/>
        <w:textAlignment w:val="auto"/>
        <w:outlineLvl w:val="9"/>
        <w:rPr>
          <w:sz w:val="32"/>
          <w:szCs w:val="32"/>
        </w:rPr>
      </w:pPr>
      <w:r>
        <w:rPr>
          <w:b/>
          <w:bCs/>
          <w:sz w:val="32"/>
          <w:szCs w:val="32"/>
        </w:rPr>
        <w:t>第九条</w:t>
      </w:r>
      <w:r>
        <w:rPr>
          <w:sz w:val="32"/>
          <w:szCs w:val="32"/>
        </w:rPr>
        <w:t xml:space="preserve"> 物业服务评估监理业务应当由</w:t>
      </w:r>
      <w:r>
        <w:rPr>
          <w:rFonts w:hint="eastAsia"/>
          <w:sz w:val="32"/>
          <w:szCs w:val="32"/>
          <w:lang w:eastAsia="zh-CN"/>
        </w:rPr>
        <w:t>协会及</w:t>
      </w:r>
      <w:r>
        <w:rPr>
          <w:sz w:val="32"/>
          <w:szCs w:val="32"/>
        </w:rPr>
        <w:t>物业服务评估监理机构接受委托，个人不得承揽评估监理业务。</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3" w:firstLineChars="200"/>
        <w:jc w:val="both"/>
        <w:textAlignment w:val="auto"/>
        <w:outlineLvl w:val="9"/>
        <w:rPr>
          <w:sz w:val="32"/>
          <w:szCs w:val="32"/>
        </w:rPr>
      </w:pPr>
      <w:r>
        <w:rPr>
          <w:b/>
          <w:bCs/>
          <w:sz w:val="32"/>
          <w:szCs w:val="32"/>
        </w:rPr>
        <w:t>第十条</w:t>
      </w:r>
      <w:r>
        <w:rPr>
          <w:sz w:val="32"/>
          <w:szCs w:val="32"/>
        </w:rPr>
        <w:t xml:space="preserve"> 物业服务评估监理机构及从事评估监理业务的人员</w:t>
      </w:r>
      <w:r>
        <w:rPr>
          <w:rFonts w:hint="eastAsia"/>
          <w:sz w:val="32"/>
          <w:szCs w:val="32"/>
          <w:lang w:eastAsia="zh-CN"/>
        </w:rPr>
        <w:t>应回避</w:t>
      </w:r>
      <w:r>
        <w:rPr>
          <w:sz w:val="32"/>
          <w:szCs w:val="32"/>
        </w:rPr>
        <w:t>与委托人</w:t>
      </w:r>
      <w:r>
        <w:rPr>
          <w:rFonts w:hint="eastAsia"/>
          <w:sz w:val="32"/>
          <w:szCs w:val="32"/>
          <w:lang w:eastAsia="zh-CN"/>
        </w:rPr>
        <w:t>对</w:t>
      </w:r>
      <w:r>
        <w:rPr>
          <w:sz w:val="32"/>
          <w:szCs w:val="32"/>
        </w:rPr>
        <w:t>评估监理事项有利害关系、可能影响公正评估的</w:t>
      </w:r>
      <w:r>
        <w:rPr>
          <w:rFonts w:hint="eastAsia"/>
          <w:sz w:val="32"/>
          <w:szCs w:val="32"/>
          <w:lang w:eastAsia="zh-CN"/>
        </w:rPr>
        <w:t>问题</w:t>
      </w:r>
      <w:r>
        <w:rPr>
          <w:sz w:val="32"/>
          <w:szCs w:val="32"/>
        </w:rPr>
        <w:t>。</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3" w:firstLineChars="200"/>
        <w:jc w:val="both"/>
        <w:textAlignment w:val="auto"/>
        <w:outlineLvl w:val="9"/>
        <w:rPr>
          <w:sz w:val="32"/>
          <w:szCs w:val="32"/>
        </w:rPr>
      </w:pPr>
      <w:r>
        <w:rPr>
          <w:b/>
          <w:bCs/>
          <w:sz w:val="32"/>
          <w:szCs w:val="32"/>
        </w:rPr>
        <w:t>第十一条</w:t>
      </w:r>
      <w:r>
        <w:rPr>
          <w:sz w:val="32"/>
          <w:szCs w:val="32"/>
        </w:rPr>
        <w:t xml:space="preserve"> 物业服务评估监理机构</w:t>
      </w:r>
      <w:r>
        <w:rPr>
          <w:rFonts w:hint="eastAsia"/>
          <w:sz w:val="32"/>
          <w:szCs w:val="32"/>
          <w:lang w:eastAsia="zh-CN"/>
        </w:rPr>
        <w:t>应</w:t>
      </w:r>
      <w:r>
        <w:rPr>
          <w:sz w:val="32"/>
          <w:szCs w:val="32"/>
        </w:rPr>
        <w:t>进行实地查勘，</w:t>
      </w:r>
      <w:r>
        <w:rPr>
          <w:rFonts w:hint="eastAsia"/>
          <w:sz w:val="32"/>
          <w:szCs w:val="32"/>
          <w:lang w:eastAsia="zh-CN"/>
        </w:rPr>
        <w:t>并为委托方提供真实有参考意义的评估监理报告</w:t>
      </w:r>
      <w:r>
        <w:rPr>
          <w:sz w:val="32"/>
          <w:szCs w:val="32"/>
        </w:rPr>
        <w:t>。</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3" w:firstLineChars="200"/>
        <w:jc w:val="both"/>
        <w:textAlignment w:val="auto"/>
        <w:outlineLvl w:val="9"/>
        <w:rPr>
          <w:sz w:val="32"/>
          <w:szCs w:val="32"/>
        </w:rPr>
      </w:pPr>
      <w:r>
        <w:rPr>
          <w:b/>
          <w:bCs/>
          <w:sz w:val="32"/>
          <w:szCs w:val="32"/>
        </w:rPr>
        <w:t>第十二条</w:t>
      </w:r>
      <w:r>
        <w:rPr>
          <w:sz w:val="32"/>
          <w:szCs w:val="32"/>
        </w:rPr>
        <w:t xml:space="preserve"> 物业服务评估监理机构应当按照相关法律、法规和合同约定的要求从事</w:t>
      </w:r>
      <w:r>
        <w:rPr>
          <w:rFonts w:hint="eastAsia"/>
          <w:sz w:val="32"/>
          <w:szCs w:val="32"/>
          <w:lang w:eastAsia="zh-CN"/>
        </w:rPr>
        <w:t>服务</w:t>
      </w:r>
      <w:r>
        <w:rPr>
          <w:sz w:val="32"/>
          <w:szCs w:val="32"/>
        </w:rPr>
        <w:t>评估监理活动，并按照</w:t>
      </w:r>
      <w:r>
        <w:rPr>
          <w:rFonts w:hint="eastAsia"/>
          <w:sz w:val="32"/>
          <w:szCs w:val="32"/>
          <w:lang w:eastAsia="zh-CN"/>
        </w:rPr>
        <w:t>协会</w:t>
      </w:r>
      <w:r>
        <w:rPr>
          <w:sz w:val="32"/>
          <w:szCs w:val="32"/>
        </w:rPr>
        <w:t>评估规范出具评估监理报告。评估监理报告应当包括评估监理目的、依据和方法，评估监理日期和基准日，评估监理查勘数据，评估监理结果及有效期限，评估监理人员签章等内容。</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3" w:firstLineChars="200"/>
        <w:jc w:val="both"/>
        <w:textAlignment w:val="auto"/>
        <w:outlineLvl w:val="9"/>
        <w:rPr>
          <w:sz w:val="32"/>
          <w:szCs w:val="32"/>
        </w:rPr>
      </w:pPr>
      <w:r>
        <w:rPr>
          <w:b/>
          <w:bCs/>
          <w:sz w:val="32"/>
          <w:szCs w:val="32"/>
        </w:rPr>
        <w:t>第十三条</w:t>
      </w:r>
      <w:r>
        <w:rPr>
          <w:sz w:val="32"/>
          <w:szCs w:val="32"/>
        </w:rPr>
        <w:t xml:space="preserve"> 物业服务评估监理机构应当保持评估监理档案资料的齐全完整，物业项目</w:t>
      </w:r>
      <w:r>
        <w:rPr>
          <w:rFonts w:hint="eastAsia"/>
          <w:sz w:val="32"/>
          <w:szCs w:val="32"/>
          <w:lang w:eastAsia="zh-CN"/>
        </w:rPr>
        <w:t>承</w:t>
      </w:r>
      <w:r>
        <w:rPr>
          <w:sz w:val="32"/>
          <w:szCs w:val="32"/>
        </w:rPr>
        <w:t>接验收评估报告相关资料保管期限不得低于5年；物业服务费用评估、物业服务质量评估报告相关资料保管期限不得低于3年。</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3" w:firstLineChars="200"/>
        <w:jc w:val="both"/>
        <w:textAlignment w:val="auto"/>
        <w:outlineLvl w:val="9"/>
        <w:rPr>
          <w:rFonts w:hint="eastAsia"/>
          <w:sz w:val="32"/>
          <w:szCs w:val="32"/>
          <w:lang w:eastAsia="zh-CN"/>
        </w:rPr>
      </w:pPr>
      <w:r>
        <w:rPr>
          <w:b/>
          <w:bCs/>
          <w:sz w:val="32"/>
          <w:szCs w:val="32"/>
        </w:rPr>
        <w:t>第十四条</w:t>
      </w:r>
      <w:r>
        <w:rPr>
          <w:sz w:val="32"/>
          <w:szCs w:val="32"/>
        </w:rPr>
        <w:t xml:space="preserve"> 物业服务</w:t>
      </w:r>
      <w:r>
        <w:rPr>
          <w:rFonts w:hint="eastAsia"/>
          <w:sz w:val="32"/>
          <w:szCs w:val="32"/>
          <w:lang w:eastAsia="zh-CN"/>
        </w:rPr>
        <w:t>承接</w:t>
      </w:r>
      <w:r>
        <w:rPr>
          <w:sz w:val="32"/>
          <w:szCs w:val="32"/>
        </w:rPr>
        <w:t>查验报告和物业服务质量评估报告</w:t>
      </w:r>
      <w:r>
        <w:rPr>
          <w:rFonts w:hint="eastAsia"/>
          <w:sz w:val="32"/>
          <w:szCs w:val="32"/>
          <w:lang w:eastAsia="zh-CN"/>
        </w:rPr>
        <w:t>可</w:t>
      </w:r>
      <w:r>
        <w:rPr>
          <w:sz w:val="32"/>
          <w:szCs w:val="32"/>
        </w:rPr>
        <w:t>作为物业管理资料归档备查</w:t>
      </w:r>
      <w:r>
        <w:rPr>
          <w:rFonts w:hint="eastAsia"/>
          <w:sz w:val="32"/>
          <w:szCs w:val="32"/>
          <w:lang w:eastAsia="zh-CN"/>
        </w:rPr>
        <w:t>。</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3" w:firstLineChars="200"/>
        <w:jc w:val="both"/>
        <w:textAlignment w:val="auto"/>
        <w:outlineLvl w:val="9"/>
        <w:rPr>
          <w:sz w:val="32"/>
          <w:szCs w:val="32"/>
        </w:rPr>
      </w:pPr>
      <w:r>
        <w:rPr>
          <w:b/>
          <w:bCs/>
          <w:sz w:val="32"/>
          <w:szCs w:val="32"/>
        </w:rPr>
        <w:t>第十五条</w:t>
      </w:r>
      <w:r>
        <w:rPr>
          <w:sz w:val="32"/>
          <w:szCs w:val="32"/>
        </w:rPr>
        <w:t xml:space="preserve"> 物业服务评估监理按照“谁委托谁付费”原则，由委托人与物业服务评估监理机构以物业服务项目查验点为基础协商确定收费金额。</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jc w:val="center"/>
        <w:textAlignment w:val="auto"/>
        <w:outlineLvl w:val="9"/>
        <w:rPr>
          <w:sz w:val="32"/>
          <w:szCs w:val="32"/>
        </w:rPr>
      </w:pPr>
      <w:r>
        <w:rPr>
          <w:rStyle w:val="4"/>
          <w:sz w:val="32"/>
          <w:szCs w:val="32"/>
        </w:rPr>
        <w:t>第三章 物业服务评估监理机构和专家</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3" w:firstLineChars="200"/>
        <w:jc w:val="both"/>
        <w:textAlignment w:val="auto"/>
        <w:outlineLvl w:val="9"/>
        <w:rPr>
          <w:sz w:val="32"/>
          <w:szCs w:val="32"/>
        </w:rPr>
      </w:pPr>
      <w:r>
        <w:rPr>
          <w:b/>
          <w:bCs/>
          <w:sz w:val="32"/>
          <w:szCs w:val="32"/>
        </w:rPr>
        <w:t>第十六条</w:t>
      </w:r>
      <w:r>
        <w:rPr>
          <w:sz w:val="32"/>
          <w:szCs w:val="32"/>
        </w:rPr>
        <w:t xml:space="preserve"> 物业服务评估监理机构应具备下列条件：</w:t>
      </w:r>
    </w:p>
    <w:p>
      <w:pPr>
        <w:pStyle w:val="2"/>
        <w:keepNext w:val="0"/>
        <w:keepLines w:val="0"/>
        <w:pageBreakBefore w:val="0"/>
        <w:widowControl/>
        <w:shd w:val="clear" w:color="auto" w:fill="FFFFFF"/>
        <w:kinsoku/>
        <w:wordWrap/>
        <w:overflowPunct/>
        <w:topLinePunct w:val="0"/>
        <w:autoSpaceDE/>
        <w:autoSpaceDN/>
        <w:bidi w:val="0"/>
        <w:adjustRightInd/>
        <w:snapToGrid/>
        <w:spacing w:before="157" w:beforeLines="50" w:beforeAutospacing="0" w:after="157" w:afterLines="50" w:afterAutospacing="0" w:line="440" w:lineRule="exact"/>
        <w:ind w:firstLine="640" w:firstLineChars="200"/>
        <w:jc w:val="both"/>
        <w:textAlignment w:val="auto"/>
        <w:outlineLvl w:val="9"/>
        <w:rPr>
          <w:sz w:val="32"/>
          <w:szCs w:val="32"/>
        </w:rPr>
      </w:pPr>
      <w:r>
        <w:rPr>
          <w:sz w:val="32"/>
          <w:szCs w:val="32"/>
        </w:rPr>
        <w:t>(一)具有独立法人资格，专业从事物业服务评估监理业务；</w:t>
      </w:r>
    </w:p>
    <w:p>
      <w:pPr>
        <w:pStyle w:val="2"/>
        <w:keepNext w:val="0"/>
        <w:keepLines w:val="0"/>
        <w:pageBreakBefore w:val="0"/>
        <w:widowControl/>
        <w:shd w:val="clear" w:color="auto" w:fill="FFFFFF"/>
        <w:kinsoku/>
        <w:wordWrap/>
        <w:overflowPunct/>
        <w:topLinePunct w:val="0"/>
        <w:autoSpaceDE/>
        <w:autoSpaceDN/>
        <w:bidi w:val="0"/>
        <w:adjustRightInd/>
        <w:snapToGrid/>
        <w:spacing w:before="157" w:beforeLines="50" w:beforeAutospacing="0" w:after="157" w:afterLines="50" w:afterAutospacing="0" w:line="440" w:lineRule="exact"/>
        <w:ind w:firstLine="640" w:firstLineChars="200"/>
        <w:jc w:val="both"/>
        <w:textAlignment w:val="auto"/>
        <w:outlineLvl w:val="9"/>
        <w:rPr>
          <w:sz w:val="32"/>
          <w:szCs w:val="32"/>
        </w:rPr>
      </w:pPr>
      <w:r>
        <w:rPr>
          <w:sz w:val="32"/>
          <w:szCs w:val="32"/>
        </w:rPr>
        <w:t>(二)注册资本100万元以上；</w:t>
      </w:r>
    </w:p>
    <w:p>
      <w:pPr>
        <w:pStyle w:val="2"/>
        <w:keepNext w:val="0"/>
        <w:keepLines w:val="0"/>
        <w:pageBreakBefore w:val="0"/>
        <w:widowControl/>
        <w:shd w:val="clear" w:color="auto" w:fill="FFFFFF"/>
        <w:kinsoku/>
        <w:wordWrap/>
        <w:overflowPunct/>
        <w:topLinePunct w:val="0"/>
        <w:autoSpaceDE/>
        <w:autoSpaceDN/>
        <w:bidi w:val="0"/>
        <w:adjustRightInd/>
        <w:snapToGrid/>
        <w:spacing w:before="157" w:beforeLines="50" w:beforeAutospacing="0" w:after="157" w:afterLines="50" w:afterAutospacing="0" w:line="440" w:lineRule="exact"/>
        <w:ind w:firstLine="640" w:firstLineChars="200"/>
        <w:jc w:val="both"/>
        <w:textAlignment w:val="auto"/>
        <w:outlineLvl w:val="9"/>
        <w:rPr>
          <w:sz w:val="32"/>
          <w:szCs w:val="32"/>
        </w:rPr>
      </w:pPr>
      <w:r>
        <w:rPr>
          <w:sz w:val="32"/>
          <w:szCs w:val="32"/>
        </w:rPr>
        <w:t>(三)有固定的办公场所和开展评估监理业务所需设施、设备和办公条件；</w:t>
      </w:r>
    </w:p>
    <w:p>
      <w:pPr>
        <w:pStyle w:val="2"/>
        <w:keepNext w:val="0"/>
        <w:keepLines w:val="0"/>
        <w:pageBreakBefore w:val="0"/>
        <w:widowControl/>
        <w:shd w:val="clear" w:color="auto" w:fill="FFFFFF"/>
        <w:kinsoku/>
        <w:wordWrap/>
        <w:overflowPunct/>
        <w:topLinePunct w:val="0"/>
        <w:autoSpaceDE/>
        <w:autoSpaceDN/>
        <w:bidi w:val="0"/>
        <w:adjustRightInd/>
        <w:snapToGrid/>
        <w:spacing w:before="157" w:beforeLines="50" w:beforeAutospacing="0" w:after="157" w:afterLines="50" w:afterAutospacing="0" w:line="440" w:lineRule="exact"/>
        <w:ind w:firstLine="640" w:firstLineChars="200"/>
        <w:jc w:val="both"/>
        <w:textAlignment w:val="auto"/>
        <w:outlineLvl w:val="9"/>
        <w:rPr>
          <w:sz w:val="32"/>
          <w:szCs w:val="32"/>
        </w:rPr>
      </w:pPr>
      <w:r>
        <w:rPr>
          <w:sz w:val="32"/>
          <w:szCs w:val="32"/>
        </w:rPr>
        <w:t>(四)具有工程、管理、经济等相关专业类的专职管理和技术人员不少于5人；</w:t>
      </w:r>
    </w:p>
    <w:p>
      <w:pPr>
        <w:pStyle w:val="2"/>
        <w:keepNext w:val="0"/>
        <w:keepLines w:val="0"/>
        <w:pageBreakBefore w:val="0"/>
        <w:widowControl/>
        <w:shd w:val="clear" w:color="auto" w:fill="FFFFFF"/>
        <w:kinsoku/>
        <w:wordWrap/>
        <w:overflowPunct/>
        <w:topLinePunct w:val="0"/>
        <w:autoSpaceDE/>
        <w:autoSpaceDN/>
        <w:bidi w:val="0"/>
        <w:adjustRightInd/>
        <w:snapToGrid/>
        <w:spacing w:before="157" w:beforeLines="50" w:beforeAutospacing="0" w:after="157" w:afterLines="50" w:afterAutospacing="0" w:line="440" w:lineRule="exact"/>
        <w:ind w:firstLine="640" w:firstLineChars="200"/>
        <w:jc w:val="both"/>
        <w:textAlignment w:val="auto"/>
        <w:outlineLvl w:val="9"/>
        <w:rPr>
          <w:sz w:val="32"/>
          <w:szCs w:val="32"/>
        </w:rPr>
      </w:pPr>
      <w:r>
        <w:rPr>
          <w:sz w:val="32"/>
          <w:szCs w:val="32"/>
        </w:rPr>
        <w:t>(五)法律、法规、</w:t>
      </w:r>
      <w:r>
        <w:rPr>
          <w:rFonts w:hint="eastAsia"/>
          <w:sz w:val="32"/>
          <w:szCs w:val="32"/>
          <w:lang w:eastAsia="zh-CN"/>
        </w:rPr>
        <w:t>企业规章制度</w:t>
      </w:r>
      <w:r>
        <w:rPr>
          <w:sz w:val="32"/>
          <w:szCs w:val="32"/>
        </w:rPr>
        <w:t>的其他条件。</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ind w:firstLine="643" w:firstLineChars="200"/>
        <w:jc w:val="both"/>
        <w:textAlignment w:val="auto"/>
        <w:outlineLvl w:val="9"/>
        <w:rPr>
          <w:sz w:val="32"/>
          <w:szCs w:val="32"/>
        </w:rPr>
      </w:pPr>
      <w:r>
        <w:rPr>
          <w:b/>
          <w:bCs/>
          <w:sz w:val="32"/>
          <w:szCs w:val="32"/>
        </w:rPr>
        <w:t>第十七条</w:t>
      </w:r>
      <w:r>
        <w:rPr>
          <w:sz w:val="32"/>
          <w:szCs w:val="32"/>
        </w:rPr>
        <w:t xml:space="preserve"> </w:t>
      </w:r>
      <w:r>
        <w:rPr>
          <w:rFonts w:hint="eastAsia"/>
          <w:sz w:val="32"/>
          <w:szCs w:val="32"/>
          <w:lang w:eastAsia="zh-CN"/>
        </w:rPr>
        <w:t>协会</w:t>
      </w:r>
      <w:r>
        <w:rPr>
          <w:sz w:val="32"/>
          <w:szCs w:val="32"/>
        </w:rPr>
        <w:t>建立物业服务评估监理专家库并定期公布专家名单，物业服务评估监理机构从事物业服务评估监理时应当从专家库中选择专家。</w:t>
      </w:r>
    </w:p>
    <w:p>
      <w:pPr>
        <w:pStyle w:val="2"/>
        <w:keepNext w:val="0"/>
        <w:keepLines w:val="0"/>
        <w:pageBreakBefore w:val="0"/>
        <w:widowControl/>
        <w:shd w:val="clear" w:color="auto" w:fill="FFFFFF"/>
        <w:kinsoku/>
        <w:wordWrap/>
        <w:overflowPunct/>
        <w:topLinePunct w:val="0"/>
        <w:autoSpaceDE/>
        <w:autoSpaceDN/>
        <w:bidi w:val="0"/>
        <w:adjustRightInd/>
        <w:snapToGrid/>
        <w:spacing w:line="400" w:lineRule="exact"/>
        <w:ind w:firstLine="640" w:firstLineChars="200"/>
        <w:jc w:val="both"/>
        <w:textAlignment w:val="auto"/>
        <w:outlineLvl w:val="9"/>
        <w:rPr>
          <w:sz w:val="32"/>
          <w:szCs w:val="32"/>
        </w:rPr>
      </w:pPr>
      <w:r>
        <w:rPr>
          <w:sz w:val="32"/>
          <w:szCs w:val="32"/>
        </w:rPr>
        <w:t>物业项目交接双方共同委托评估监理机构进行</w:t>
      </w:r>
      <w:r>
        <w:rPr>
          <w:rFonts w:hint="eastAsia"/>
          <w:sz w:val="32"/>
          <w:szCs w:val="32"/>
          <w:lang w:eastAsia="zh-CN"/>
        </w:rPr>
        <w:t>承接</w:t>
      </w:r>
      <w:r>
        <w:rPr>
          <w:sz w:val="32"/>
          <w:szCs w:val="32"/>
        </w:rPr>
        <w:t>查验</w:t>
      </w:r>
      <w:r>
        <w:rPr>
          <w:rFonts w:hint="eastAsia"/>
          <w:sz w:val="32"/>
          <w:szCs w:val="32"/>
          <w:lang w:eastAsia="zh-CN"/>
        </w:rPr>
        <w:t>时</w:t>
      </w:r>
      <w:r>
        <w:rPr>
          <w:sz w:val="32"/>
          <w:szCs w:val="32"/>
        </w:rPr>
        <w:t>，委托人可以从专家库中选择专家，也可以从专家库外选择专家。</w:t>
      </w:r>
    </w:p>
    <w:p>
      <w:pPr>
        <w:pStyle w:val="2"/>
        <w:keepNext w:val="0"/>
        <w:keepLines w:val="0"/>
        <w:pageBreakBefore w:val="0"/>
        <w:widowControl/>
        <w:shd w:val="clear" w:color="auto" w:fill="FFFFFF"/>
        <w:kinsoku/>
        <w:wordWrap/>
        <w:overflowPunct/>
        <w:topLinePunct w:val="0"/>
        <w:autoSpaceDE/>
        <w:autoSpaceDN/>
        <w:bidi w:val="0"/>
        <w:adjustRightInd/>
        <w:snapToGrid/>
        <w:spacing w:line="400" w:lineRule="exact"/>
        <w:ind w:firstLine="640" w:firstLineChars="200"/>
        <w:jc w:val="both"/>
        <w:textAlignment w:val="auto"/>
        <w:outlineLvl w:val="9"/>
        <w:rPr>
          <w:sz w:val="32"/>
          <w:szCs w:val="32"/>
        </w:rPr>
      </w:pPr>
      <w:r>
        <w:rPr>
          <w:sz w:val="32"/>
          <w:szCs w:val="32"/>
        </w:rPr>
        <w:t>委托人在专家库外选定专家的，应当向</w:t>
      </w:r>
      <w:r>
        <w:rPr>
          <w:rFonts w:hint="eastAsia"/>
          <w:sz w:val="32"/>
          <w:szCs w:val="32"/>
          <w:lang w:eastAsia="zh-CN"/>
        </w:rPr>
        <w:t>协会</w:t>
      </w:r>
      <w:r>
        <w:rPr>
          <w:sz w:val="32"/>
          <w:szCs w:val="32"/>
        </w:rPr>
        <w:t>提供专家的简历</w:t>
      </w:r>
      <w:r>
        <w:rPr>
          <w:rFonts w:hint="eastAsia"/>
          <w:sz w:val="32"/>
          <w:szCs w:val="32"/>
          <w:lang w:eastAsia="zh-CN"/>
        </w:rPr>
        <w:t>、职称证书</w:t>
      </w:r>
      <w:r>
        <w:rPr>
          <w:sz w:val="32"/>
          <w:szCs w:val="32"/>
        </w:rPr>
        <w:t>和具体联系方式。</w:t>
      </w:r>
    </w:p>
    <w:p>
      <w:pPr>
        <w:pStyle w:val="2"/>
        <w:keepNext w:val="0"/>
        <w:keepLines w:val="0"/>
        <w:pageBreakBefore w:val="0"/>
        <w:widowControl/>
        <w:shd w:val="clear" w:color="auto" w:fill="FFFFFF"/>
        <w:kinsoku/>
        <w:wordWrap/>
        <w:overflowPunct/>
        <w:topLinePunct w:val="0"/>
        <w:autoSpaceDE/>
        <w:autoSpaceDN/>
        <w:bidi w:val="0"/>
        <w:adjustRightInd/>
        <w:snapToGrid/>
        <w:spacing w:line="400" w:lineRule="exact"/>
        <w:ind w:firstLine="643" w:firstLineChars="200"/>
        <w:jc w:val="both"/>
        <w:textAlignment w:val="auto"/>
        <w:outlineLvl w:val="9"/>
        <w:rPr>
          <w:sz w:val="32"/>
          <w:szCs w:val="32"/>
        </w:rPr>
      </w:pPr>
      <w:r>
        <w:rPr>
          <w:b/>
          <w:bCs/>
          <w:sz w:val="32"/>
          <w:szCs w:val="32"/>
        </w:rPr>
        <w:t>第十八条</w:t>
      </w:r>
      <w:r>
        <w:rPr>
          <w:sz w:val="32"/>
          <w:szCs w:val="32"/>
        </w:rPr>
        <w:t xml:space="preserve"> 物业服务评估监理专家出具评估意见并对评估监理机构负责；评估监理机构出具评估监理报告并对委托人负责。</w:t>
      </w:r>
    </w:p>
    <w:p>
      <w:pPr>
        <w:pStyle w:val="2"/>
        <w:keepNext w:val="0"/>
        <w:keepLines w:val="0"/>
        <w:pageBreakBefore w:val="0"/>
        <w:widowControl/>
        <w:shd w:val="clear" w:color="auto" w:fill="FFFFFF"/>
        <w:kinsoku/>
        <w:wordWrap/>
        <w:overflowPunct/>
        <w:topLinePunct w:val="0"/>
        <w:autoSpaceDE/>
        <w:autoSpaceDN/>
        <w:bidi w:val="0"/>
        <w:adjustRightInd/>
        <w:snapToGrid/>
        <w:spacing w:line="400" w:lineRule="exact"/>
        <w:ind w:firstLine="643" w:firstLineChars="200"/>
        <w:jc w:val="both"/>
        <w:textAlignment w:val="auto"/>
        <w:outlineLvl w:val="9"/>
        <w:rPr>
          <w:sz w:val="32"/>
          <w:szCs w:val="32"/>
        </w:rPr>
      </w:pPr>
      <w:r>
        <w:rPr>
          <w:b/>
          <w:bCs/>
          <w:sz w:val="32"/>
          <w:szCs w:val="32"/>
        </w:rPr>
        <w:t>第十九条</w:t>
      </w:r>
      <w:r>
        <w:rPr>
          <w:sz w:val="32"/>
          <w:szCs w:val="32"/>
        </w:rPr>
        <w:t xml:space="preserve"> 物业服务评估监理机构应当按照</w:t>
      </w:r>
      <w:r>
        <w:rPr>
          <w:rFonts w:hint="eastAsia"/>
          <w:sz w:val="32"/>
          <w:szCs w:val="32"/>
          <w:lang w:eastAsia="zh-CN"/>
        </w:rPr>
        <w:t>国家、地方及协会</w:t>
      </w:r>
      <w:r>
        <w:rPr>
          <w:sz w:val="32"/>
          <w:szCs w:val="32"/>
        </w:rPr>
        <w:t>相关规定从事评估监理业务，不得出具有偏向性、虚假内容、误导性陈述和重大遗漏的评估监理报告。</w:t>
      </w:r>
    </w:p>
    <w:p>
      <w:pPr>
        <w:pStyle w:val="2"/>
        <w:keepNext w:val="0"/>
        <w:keepLines w:val="0"/>
        <w:pageBreakBefore w:val="0"/>
        <w:widowControl/>
        <w:shd w:val="clear" w:color="auto" w:fill="FFFFFF"/>
        <w:kinsoku/>
        <w:wordWrap/>
        <w:overflowPunct/>
        <w:topLinePunct w:val="0"/>
        <w:autoSpaceDE/>
        <w:autoSpaceDN/>
        <w:bidi w:val="0"/>
        <w:adjustRightInd/>
        <w:snapToGrid/>
        <w:spacing w:line="400" w:lineRule="exact"/>
        <w:ind w:firstLine="643" w:firstLineChars="200"/>
        <w:jc w:val="both"/>
        <w:textAlignment w:val="auto"/>
        <w:outlineLvl w:val="9"/>
        <w:rPr>
          <w:sz w:val="32"/>
          <w:szCs w:val="32"/>
        </w:rPr>
      </w:pPr>
      <w:r>
        <w:rPr>
          <w:b/>
          <w:bCs/>
          <w:sz w:val="32"/>
          <w:szCs w:val="32"/>
        </w:rPr>
        <w:t>第二十条</w:t>
      </w:r>
      <w:r>
        <w:rPr>
          <w:sz w:val="32"/>
          <w:szCs w:val="32"/>
        </w:rPr>
        <w:t xml:space="preserve"> 物业服务评估监理专家在物业服务评估监理活动中不得有下列行为：</w:t>
      </w:r>
    </w:p>
    <w:p>
      <w:pPr>
        <w:pStyle w:val="2"/>
        <w:keepNext w:val="0"/>
        <w:keepLines w:val="0"/>
        <w:pageBreakBefore w:val="0"/>
        <w:widowControl/>
        <w:shd w:val="clear" w:color="auto" w:fill="FFFFFF"/>
        <w:kinsoku/>
        <w:wordWrap/>
        <w:overflowPunct/>
        <w:topLinePunct w:val="0"/>
        <w:autoSpaceDE/>
        <w:autoSpaceDN/>
        <w:bidi w:val="0"/>
        <w:adjustRightInd/>
        <w:snapToGrid/>
        <w:spacing w:before="120" w:beforeAutospacing="0" w:after="120" w:afterAutospacing="0" w:line="400" w:lineRule="exact"/>
        <w:ind w:firstLine="640" w:firstLineChars="200"/>
        <w:jc w:val="both"/>
        <w:textAlignment w:val="auto"/>
        <w:outlineLvl w:val="9"/>
        <w:rPr>
          <w:sz w:val="32"/>
          <w:szCs w:val="32"/>
        </w:rPr>
      </w:pPr>
      <w:r>
        <w:rPr>
          <w:sz w:val="32"/>
          <w:szCs w:val="32"/>
        </w:rPr>
        <w:t>(一)以个人名义出具评估监理报告；</w:t>
      </w:r>
    </w:p>
    <w:p>
      <w:pPr>
        <w:pStyle w:val="2"/>
        <w:keepNext w:val="0"/>
        <w:keepLines w:val="0"/>
        <w:pageBreakBefore w:val="0"/>
        <w:widowControl/>
        <w:shd w:val="clear" w:color="auto" w:fill="FFFFFF"/>
        <w:kinsoku/>
        <w:wordWrap/>
        <w:overflowPunct/>
        <w:topLinePunct w:val="0"/>
        <w:autoSpaceDE/>
        <w:autoSpaceDN/>
        <w:bidi w:val="0"/>
        <w:adjustRightInd/>
        <w:snapToGrid/>
        <w:spacing w:before="120" w:beforeAutospacing="0" w:after="120" w:afterAutospacing="0" w:line="400" w:lineRule="exact"/>
        <w:ind w:firstLine="640" w:firstLineChars="200"/>
        <w:jc w:val="both"/>
        <w:textAlignment w:val="auto"/>
        <w:outlineLvl w:val="9"/>
        <w:rPr>
          <w:sz w:val="32"/>
          <w:szCs w:val="32"/>
        </w:rPr>
      </w:pPr>
      <w:r>
        <w:rPr>
          <w:sz w:val="32"/>
          <w:szCs w:val="32"/>
        </w:rPr>
        <w:t>(二)收受委托合同以外的酬金或其他财物，谋取其他不正当利益；</w:t>
      </w:r>
    </w:p>
    <w:p>
      <w:pPr>
        <w:pStyle w:val="2"/>
        <w:keepNext w:val="0"/>
        <w:keepLines w:val="0"/>
        <w:pageBreakBefore w:val="0"/>
        <w:widowControl/>
        <w:shd w:val="clear" w:color="auto" w:fill="FFFFFF"/>
        <w:kinsoku/>
        <w:wordWrap/>
        <w:overflowPunct/>
        <w:topLinePunct w:val="0"/>
        <w:autoSpaceDE/>
        <w:autoSpaceDN/>
        <w:bidi w:val="0"/>
        <w:adjustRightInd/>
        <w:snapToGrid/>
        <w:spacing w:before="120" w:beforeAutospacing="0" w:after="120" w:afterAutospacing="0" w:line="400" w:lineRule="exact"/>
        <w:ind w:firstLine="640" w:firstLineChars="200"/>
        <w:jc w:val="both"/>
        <w:textAlignment w:val="auto"/>
        <w:outlineLvl w:val="9"/>
        <w:rPr>
          <w:sz w:val="32"/>
          <w:szCs w:val="32"/>
        </w:rPr>
      </w:pPr>
      <w:r>
        <w:rPr>
          <w:sz w:val="32"/>
          <w:szCs w:val="32"/>
        </w:rPr>
        <w:t>(三)与委托人串通损害相对人利益；</w:t>
      </w:r>
    </w:p>
    <w:p>
      <w:pPr>
        <w:pStyle w:val="2"/>
        <w:keepNext w:val="0"/>
        <w:keepLines w:val="0"/>
        <w:pageBreakBefore w:val="0"/>
        <w:widowControl/>
        <w:shd w:val="clear" w:color="auto" w:fill="FFFFFF"/>
        <w:kinsoku/>
        <w:wordWrap/>
        <w:overflowPunct/>
        <w:topLinePunct w:val="0"/>
        <w:autoSpaceDE/>
        <w:autoSpaceDN/>
        <w:bidi w:val="0"/>
        <w:adjustRightInd/>
        <w:snapToGrid/>
        <w:spacing w:before="120" w:beforeAutospacing="0" w:after="120" w:afterAutospacing="0" w:line="400" w:lineRule="exact"/>
        <w:ind w:firstLine="640" w:firstLineChars="200"/>
        <w:jc w:val="both"/>
        <w:textAlignment w:val="auto"/>
        <w:outlineLvl w:val="9"/>
        <w:rPr>
          <w:sz w:val="32"/>
          <w:szCs w:val="32"/>
        </w:rPr>
      </w:pPr>
      <w:r>
        <w:rPr>
          <w:sz w:val="32"/>
          <w:szCs w:val="32"/>
        </w:rPr>
        <w:t>(四)允许他人以自己的名义从事物业服务评估监理业务；</w:t>
      </w:r>
    </w:p>
    <w:p>
      <w:pPr>
        <w:pStyle w:val="2"/>
        <w:keepNext w:val="0"/>
        <w:keepLines w:val="0"/>
        <w:pageBreakBefore w:val="0"/>
        <w:widowControl/>
        <w:shd w:val="clear" w:color="auto" w:fill="FFFFFF"/>
        <w:kinsoku/>
        <w:wordWrap/>
        <w:overflowPunct/>
        <w:topLinePunct w:val="0"/>
        <w:autoSpaceDE/>
        <w:autoSpaceDN/>
        <w:bidi w:val="0"/>
        <w:adjustRightInd/>
        <w:snapToGrid/>
        <w:spacing w:before="120" w:beforeAutospacing="0" w:after="120" w:afterAutospacing="0" w:line="400" w:lineRule="exact"/>
        <w:ind w:firstLine="640" w:firstLineChars="200"/>
        <w:jc w:val="both"/>
        <w:textAlignment w:val="auto"/>
        <w:outlineLvl w:val="9"/>
        <w:rPr>
          <w:sz w:val="32"/>
          <w:szCs w:val="32"/>
        </w:rPr>
      </w:pPr>
      <w:r>
        <w:rPr>
          <w:sz w:val="32"/>
          <w:szCs w:val="32"/>
        </w:rPr>
        <w:t>(五)签署有偏向性、虚假内容、误导性陈述和重大遗漏的评估监理报告；</w:t>
      </w:r>
    </w:p>
    <w:p>
      <w:pPr>
        <w:pStyle w:val="2"/>
        <w:keepNext w:val="0"/>
        <w:keepLines w:val="0"/>
        <w:pageBreakBefore w:val="0"/>
        <w:widowControl/>
        <w:shd w:val="clear" w:color="auto" w:fill="FFFFFF"/>
        <w:kinsoku/>
        <w:wordWrap/>
        <w:overflowPunct/>
        <w:topLinePunct w:val="0"/>
        <w:autoSpaceDE/>
        <w:autoSpaceDN/>
        <w:bidi w:val="0"/>
        <w:adjustRightInd/>
        <w:snapToGrid/>
        <w:spacing w:before="120" w:beforeAutospacing="0" w:after="120" w:afterAutospacing="0" w:line="400" w:lineRule="exact"/>
        <w:ind w:firstLine="640" w:firstLineChars="200"/>
        <w:jc w:val="both"/>
        <w:textAlignment w:val="auto"/>
        <w:outlineLvl w:val="9"/>
        <w:rPr>
          <w:sz w:val="32"/>
          <w:szCs w:val="32"/>
        </w:rPr>
      </w:pPr>
      <w:r>
        <w:rPr>
          <w:sz w:val="32"/>
          <w:szCs w:val="32"/>
        </w:rPr>
        <w:t>(六)法律、法规禁止的其他行为。</w:t>
      </w:r>
    </w:p>
    <w:p>
      <w:pPr>
        <w:pStyle w:val="2"/>
        <w:keepNext w:val="0"/>
        <w:keepLines w:val="0"/>
        <w:pageBreakBefore w:val="0"/>
        <w:widowControl/>
        <w:shd w:val="clear" w:color="auto" w:fill="FFFFFF"/>
        <w:kinsoku/>
        <w:wordWrap/>
        <w:overflowPunct/>
        <w:topLinePunct w:val="0"/>
        <w:autoSpaceDE/>
        <w:autoSpaceDN/>
        <w:bidi w:val="0"/>
        <w:adjustRightInd/>
        <w:snapToGrid/>
        <w:spacing w:line="440" w:lineRule="exact"/>
        <w:jc w:val="center"/>
        <w:textAlignment w:val="auto"/>
        <w:outlineLvl w:val="9"/>
        <w:rPr>
          <w:sz w:val="32"/>
          <w:szCs w:val="32"/>
        </w:rPr>
      </w:pPr>
      <w:r>
        <w:rPr>
          <w:rStyle w:val="4"/>
          <w:sz w:val="32"/>
          <w:szCs w:val="32"/>
        </w:rPr>
        <w:t>第四章 法律责任</w:t>
      </w:r>
    </w:p>
    <w:p>
      <w:pPr>
        <w:pStyle w:val="2"/>
        <w:keepNext w:val="0"/>
        <w:keepLines w:val="0"/>
        <w:pageBreakBefore w:val="0"/>
        <w:widowControl/>
        <w:shd w:val="clear" w:color="auto" w:fill="FFFFFF"/>
        <w:kinsoku/>
        <w:wordWrap/>
        <w:overflowPunct/>
        <w:topLinePunct w:val="0"/>
        <w:autoSpaceDE/>
        <w:autoSpaceDN/>
        <w:bidi w:val="0"/>
        <w:adjustRightInd/>
        <w:snapToGrid/>
        <w:spacing w:line="400" w:lineRule="exact"/>
        <w:ind w:firstLine="643" w:firstLineChars="200"/>
        <w:jc w:val="left"/>
        <w:textAlignment w:val="auto"/>
        <w:outlineLvl w:val="9"/>
        <w:rPr>
          <w:sz w:val="32"/>
          <w:szCs w:val="32"/>
        </w:rPr>
      </w:pPr>
      <w:r>
        <w:rPr>
          <w:b/>
          <w:bCs/>
          <w:sz w:val="32"/>
          <w:szCs w:val="32"/>
        </w:rPr>
        <w:t>第二十一条</w:t>
      </w:r>
      <w:r>
        <w:rPr>
          <w:sz w:val="32"/>
          <w:szCs w:val="32"/>
        </w:rPr>
        <w:t xml:space="preserve"> 物业服务评估监理机构违反本办法第十条、第十九条规定的，由</w:t>
      </w:r>
      <w:r>
        <w:rPr>
          <w:rFonts w:hint="eastAsia"/>
          <w:sz w:val="32"/>
          <w:szCs w:val="32"/>
          <w:lang w:eastAsia="zh-CN"/>
        </w:rPr>
        <w:t>协会</w:t>
      </w:r>
      <w:r>
        <w:rPr>
          <w:sz w:val="32"/>
          <w:szCs w:val="32"/>
        </w:rPr>
        <w:t>责令限期改正并予以公示；造成损失的，依法承担赔偿责任。</w:t>
      </w:r>
    </w:p>
    <w:p>
      <w:pPr>
        <w:pStyle w:val="2"/>
        <w:keepNext w:val="0"/>
        <w:keepLines w:val="0"/>
        <w:pageBreakBefore w:val="0"/>
        <w:widowControl/>
        <w:shd w:val="clear" w:color="auto" w:fill="FFFFFF"/>
        <w:kinsoku/>
        <w:wordWrap/>
        <w:overflowPunct/>
        <w:topLinePunct w:val="0"/>
        <w:autoSpaceDE/>
        <w:autoSpaceDN/>
        <w:bidi w:val="0"/>
        <w:adjustRightInd/>
        <w:snapToGrid/>
        <w:spacing w:line="400" w:lineRule="exact"/>
        <w:ind w:firstLine="643" w:firstLineChars="200"/>
        <w:jc w:val="both"/>
        <w:textAlignment w:val="auto"/>
        <w:outlineLvl w:val="9"/>
        <w:rPr>
          <w:rFonts w:hint="eastAsia"/>
          <w:sz w:val="32"/>
          <w:szCs w:val="32"/>
        </w:rPr>
      </w:pPr>
      <w:r>
        <w:rPr>
          <w:b/>
          <w:bCs/>
          <w:sz w:val="32"/>
          <w:szCs w:val="32"/>
        </w:rPr>
        <w:t>第二十二条</w:t>
      </w:r>
      <w:r>
        <w:rPr>
          <w:sz w:val="32"/>
          <w:szCs w:val="32"/>
        </w:rPr>
        <w:t xml:space="preserve"> 物业服务评估监理专家违反本办法第九条、第十条、第二十条规定的，由</w:t>
      </w:r>
      <w:r>
        <w:rPr>
          <w:rFonts w:hint="eastAsia"/>
          <w:sz w:val="32"/>
          <w:szCs w:val="32"/>
          <w:lang w:eastAsia="zh-CN"/>
        </w:rPr>
        <w:t>协会</w:t>
      </w:r>
      <w:r>
        <w:rPr>
          <w:sz w:val="32"/>
          <w:szCs w:val="32"/>
        </w:rPr>
        <w:t>约谈告诫；情节严重的，取消专家资格并予以公示；造成损失的，依法承担赔偿责任。</w:t>
      </w:r>
    </w:p>
    <w:p>
      <w:pPr>
        <w:pStyle w:val="2"/>
        <w:keepNext w:val="0"/>
        <w:keepLines w:val="0"/>
        <w:pageBreakBefore w:val="0"/>
        <w:widowControl/>
        <w:shd w:val="clear" w:color="auto" w:fill="FFFFFF"/>
        <w:kinsoku/>
        <w:wordWrap/>
        <w:overflowPunct/>
        <w:topLinePunct w:val="0"/>
        <w:autoSpaceDE/>
        <w:autoSpaceDN/>
        <w:bidi w:val="0"/>
        <w:adjustRightInd/>
        <w:snapToGrid/>
        <w:spacing w:line="400" w:lineRule="exact"/>
        <w:ind w:firstLine="643" w:firstLineChars="200"/>
        <w:jc w:val="both"/>
        <w:textAlignment w:val="auto"/>
        <w:outlineLvl w:val="9"/>
        <w:rPr>
          <w:sz w:val="32"/>
          <w:szCs w:val="32"/>
        </w:rPr>
      </w:pPr>
      <w:r>
        <w:rPr>
          <w:b/>
          <w:bCs/>
          <w:sz w:val="32"/>
          <w:szCs w:val="32"/>
        </w:rPr>
        <w:t>第二十三条</w:t>
      </w:r>
      <w:r>
        <w:rPr>
          <w:sz w:val="32"/>
          <w:szCs w:val="32"/>
        </w:rPr>
        <w:t xml:space="preserve"> </w:t>
      </w:r>
      <w:r>
        <w:rPr>
          <w:rFonts w:hint="eastAsia"/>
          <w:sz w:val="32"/>
          <w:szCs w:val="32"/>
          <w:lang w:eastAsia="zh-CN"/>
        </w:rPr>
        <w:t>委托方</w:t>
      </w:r>
      <w:r>
        <w:rPr>
          <w:sz w:val="32"/>
          <w:szCs w:val="32"/>
        </w:rPr>
        <w:t>违反本办法第十一条规定的，由</w:t>
      </w:r>
      <w:r>
        <w:rPr>
          <w:rFonts w:hint="eastAsia"/>
          <w:sz w:val="32"/>
          <w:szCs w:val="32"/>
          <w:lang w:eastAsia="zh-CN"/>
        </w:rPr>
        <w:t>协会</w:t>
      </w:r>
      <w:r>
        <w:rPr>
          <w:sz w:val="32"/>
          <w:szCs w:val="32"/>
        </w:rPr>
        <w:t>责令限期改正并记入企业信用档案；造成损失的，依法承担赔偿责任。</w:t>
      </w:r>
    </w:p>
    <w:p>
      <w:pPr>
        <w:pStyle w:val="2"/>
        <w:keepNext w:val="0"/>
        <w:keepLines w:val="0"/>
        <w:pageBreakBefore w:val="0"/>
        <w:widowControl/>
        <w:shd w:val="clear" w:color="auto" w:fill="FFFFFF"/>
        <w:kinsoku/>
        <w:wordWrap/>
        <w:overflowPunct/>
        <w:topLinePunct w:val="0"/>
        <w:autoSpaceDE/>
        <w:autoSpaceDN/>
        <w:bidi w:val="0"/>
        <w:adjustRightInd/>
        <w:snapToGrid/>
        <w:spacing w:line="400" w:lineRule="exact"/>
        <w:jc w:val="center"/>
        <w:textAlignment w:val="auto"/>
        <w:outlineLvl w:val="9"/>
        <w:rPr>
          <w:rFonts w:hint="eastAsia"/>
          <w:b/>
          <w:bCs/>
          <w:sz w:val="32"/>
          <w:szCs w:val="32"/>
        </w:rPr>
      </w:pPr>
      <w:r>
        <w:rPr>
          <w:rStyle w:val="4"/>
          <w:sz w:val="32"/>
          <w:szCs w:val="32"/>
        </w:rPr>
        <w:t>第五章 附则</w:t>
      </w:r>
    </w:p>
    <w:p>
      <w:pPr>
        <w:ind w:firstLine="643" w:firstLineChars="200"/>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b/>
          <w:bCs/>
          <w:sz w:val="32"/>
          <w:szCs w:val="32"/>
        </w:rPr>
        <w:t>第二十四条</w:t>
      </w:r>
      <w:r>
        <w:rPr>
          <w:rFonts w:hint="eastAsia" w:asciiTheme="minorEastAsia" w:hAnsiTheme="minorEastAsia" w:eastAsiaTheme="minorEastAsia" w:cstheme="minorEastAsia"/>
          <w:sz w:val="32"/>
          <w:szCs w:val="32"/>
        </w:rPr>
        <w:t xml:space="preserve"> 本办法自201</w:t>
      </w:r>
      <w:r>
        <w:rPr>
          <w:rFonts w:hint="eastAsia" w:asciiTheme="minorEastAsia" w:hAnsiTheme="minorEastAsia" w:eastAsiaTheme="minorEastAsia" w:cstheme="minorEastAsia"/>
          <w:sz w:val="32"/>
          <w:szCs w:val="32"/>
          <w:lang w:val="en-US" w:eastAsia="zh-CN"/>
        </w:rPr>
        <w:t>9</w:t>
      </w:r>
      <w:bookmarkStart w:id="0" w:name="_GoBack"/>
      <w:bookmarkEnd w:id="0"/>
      <w:r>
        <w:rPr>
          <w:rFonts w:hint="eastAsia" w:asciiTheme="minorEastAsia" w:hAnsiTheme="minorEastAsia" w:eastAsiaTheme="minorEastAsia" w:cstheme="minorEastAsia"/>
          <w:sz w:val="32"/>
          <w:szCs w:val="32"/>
        </w:rPr>
        <w:t>年1</w:t>
      </w:r>
      <w:r>
        <w:rPr>
          <w:rFonts w:hint="eastAsia" w:asciiTheme="minorEastAsia" w:hAnsiTheme="minorEastAsia" w:eastAsiaTheme="minorEastAsia" w:cstheme="minorEastAsia"/>
          <w:sz w:val="32"/>
          <w:szCs w:val="32"/>
          <w:lang w:val="en-US" w:eastAsia="zh-CN"/>
        </w:rPr>
        <w:t>月1日起实施。</w:t>
      </w:r>
    </w:p>
    <w:p>
      <w:pPr>
        <w:jc w:val="both"/>
        <w:rPr>
          <w:rFonts w:hint="eastAsia" w:asciiTheme="minorEastAsia" w:hAnsiTheme="minorEastAsia" w:eastAsiaTheme="minorEastAsia" w:cstheme="minorEastAsia"/>
          <w:sz w:val="32"/>
          <w:szCs w:val="32"/>
          <w:lang w:eastAsia="zh-CN"/>
        </w:rPr>
      </w:pPr>
    </w:p>
    <w:p>
      <w:pPr>
        <w:jc w:val="right"/>
        <w:rPr>
          <w:rFonts w:hint="eastAsia" w:asciiTheme="minorEastAsia" w:hAnsiTheme="minorEastAsia" w:eastAsiaTheme="minorEastAsia" w:cstheme="minorEastAsia"/>
          <w:sz w:val="32"/>
          <w:szCs w:val="32"/>
          <w:lang w:eastAsia="zh-CN"/>
        </w:rPr>
      </w:pP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asciiTheme="minorEastAsia" w:hAnsiTheme="minorEastAsia" w:eastAsiaTheme="minorEastAsia" w:cstheme="minorEastAsia"/>
          <w:kern w:val="0"/>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8C18EB"/>
    <w:rsid w:val="0C8C18EB"/>
    <w:rsid w:val="0F6449A4"/>
    <w:rsid w:val="10CD59B4"/>
    <w:rsid w:val="146B376F"/>
    <w:rsid w:val="21AA662A"/>
    <w:rsid w:val="262170C9"/>
    <w:rsid w:val="427E2439"/>
    <w:rsid w:val="44500D27"/>
    <w:rsid w:val="46C22C69"/>
    <w:rsid w:val="481A7380"/>
    <w:rsid w:val="4DBF6B56"/>
    <w:rsid w:val="4F8944DC"/>
    <w:rsid w:val="50D8216B"/>
    <w:rsid w:val="538742DF"/>
    <w:rsid w:val="58581C5A"/>
    <w:rsid w:val="5C396B00"/>
    <w:rsid w:val="657F443C"/>
    <w:rsid w:val="65CE7AD5"/>
    <w:rsid w:val="68C15167"/>
    <w:rsid w:val="6B3B3977"/>
    <w:rsid w:val="6DEF2662"/>
    <w:rsid w:val="6F856BEE"/>
    <w:rsid w:val="7F123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character" w:styleId="4">
    <w:name w:val="Strong"/>
    <w:basedOn w:val="3"/>
    <w:qFormat/>
    <w:uiPriority w:val="0"/>
    <w:rPr>
      <w:b/>
      <w:bCs/>
    </w:rPr>
  </w:style>
  <w:style w:type="character" w:styleId="5">
    <w:name w:val="Hyperlink"/>
    <w:basedOn w:val="3"/>
    <w:qFormat/>
    <w:uiPriority w:val="0"/>
    <w:rPr>
      <w:color w:val="00000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45</TotalTime>
  <ScaleCrop>false</ScaleCrop>
  <LinksUpToDate>false</LinksUpToDate>
  <CharactersWithSpaces>0</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2018-10-18T02:40:00Z</dcterms:created>
  <dc:creator>吉米萝卜丝</dc:creator>
  <cp:lastModifiedBy>吉米萝卜丝</cp:lastModifiedBy>
  <dcterms:modified xsi:type="dcterms:W3CDTF">2018-12-14T02:17:09Z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