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</w:tabs>
        <w:spacing w:line="360" w:lineRule="auto"/>
        <w:jc w:val="center"/>
        <w:rPr>
          <w:rFonts w:ascii="宋体" w:hAnsi="宋体"/>
          <w:b/>
          <w:color w:val="FF0000"/>
          <w:spacing w:val="14"/>
          <w:kern w:val="32"/>
          <w:sz w:val="52"/>
          <w:szCs w:val="52"/>
        </w:rPr>
      </w:pPr>
      <w:r>
        <w:rPr>
          <w:rFonts w:hint="eastAsia" w:ascii="宋体" w:hAnsi="宋体"/>
          <w:b/>
          <w:color w:val="FF0000"/>
          <w:spacing w:val="14"/>
          <w:kern w:val="32"/>
          <w:sz w:val="52"/>
          <w:szCs w:val="52"/>
        </w:rPr>
        <w:t>北京市物业服务评估监理协会</w:t>
      </w:r>
    </w:p>
    <w:p>
      <w:pPr>
        <w:tabs>
          <w:tab w:val="center" w:pos="4153"/>
        </w:tabs>
        <w:spacing w:line="360" w:lineRule="auto"/>
        <w:ind w:right="150"/>
        <w:jc w:val="center"/>
        <w:rPr>
          <w:rFonts w:ascii="宋体" w:hAnsi="宋体"/>
          <w:b/>
          <w:color w:val="FF0000"/>
          <w:spacing w:val="14"/>
          <w:kern w:val="32"/>
          <w:sz w:val="52"/>
          <w:szCs w:val="52"/>
        </w:rPr>
      </w:pPr>
      <w:r>
        <w:rPr>
          <w:rFonts w:hint="eastAsia" w:ascii="宋体" w:hAnsi="Calibri" w:cs="宋体"/>
          <w:kern w:val="0"/>
          <w:sz w:val="30"/>
          <w:szCs w:val="30"/>
        </w:rPr>
        <w:t>京物评协字</w:t>
      </w:r>
      <w:r>
        <w:rPr>
          <w:rFonts w:ascii="宋体" w:hAnsi="Calibri" w:cs="宋体"/>
          <w:kern w:val="0"/>
          <w:sz w:val="30"/>
          <w:szCs w:val="30"/>
        </w:rPr>
        <w:t>[201</w:t>
      </w:r>
      <w:r>
        <w:rPr>
          <w:rFonts w:hint="eastAsia" w:ascii="宋体" w:hAnsi="Calibri" w:cs="宋体"/>
          <w:kern w:val="0"/>
          <w:sz w:val="30"/>
          <w:szCs w:val="30"/>
          <w:lang w:val="en-US" w:eastAsia="zh-CN"/>
        </w:rPr>
        <w:t>9</w:t>
      </w:r>
      <w:r>
        <w:rPr>
          <w:rFonts w:ascii="宋体" w:hAnsi="Calibri" w:cs="宋体"/>
          <w:kern w:val="0"/>
          <w:sz w:val="30"/>
          <w:szCs w:val="30"/>
        </w:rPr>
        <w:t>]</w:t>
      </w:r>
      <w:r>
        <w:rPr>
          <w:rFonts w:hint="eastAsia" w:ascii="宋体" w:hAnsi="Calibri" w:cs="宋体"/>
          <w:kern w:val="0"/>
          <w:sz w:val="30"/>
          <w:szCs w:val="30"/>
          <w:lang w:val="en-US" w:eastAsia="zh-CN"/>
        </w:rPr>
        <w:t>6</w:t>
      </w:r>
      <w:r>
        <w:rPr>
          <w:rFonts w:hint="eastAsia" w:ascii="宋体" w:hAnsi="Calibri" w:cs="宋体"/>
          <w:kern w:val="0"/>
          <w:sz w:val="30"/>
          <w:szCs w:val="30"/>
        </w:rPr>
        <w:t>号</w:t>
      </w:r>
    </w:p>
    <w:p>
      <w:pPr>
        <w:spacing w:line="360" w:lineRule="auto"/>
        <w:jc w:val="center"/>
        <w:rPr>
          <w:sz w:val="10"/>
          <w:szCs w:val="10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99060</wp:posOffset>
                </wp:positionV>
                <wp:extent cx="5715000" cy="0"/>
                <wp:effectExtent l="0" t="13970" r="0" b="2413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pt;margin-top:7.8pt;height:0pt;width:450pt;z-index:251659264;mso-width-relative:page;mso-height-relative:page;" filled="f" stroked="t" coordsize="21600,21600" o:gfxdata="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enXfcNYAAAAJAQAADwAAAAAAAAABACAAAAAiAAAA&#10;ZHJzL2Rvd25yZXYueG1sUEsBAhQAFAAAAAgAh07iQJDO4SbQAQAAawMAAA4AAAAAAAAAAQAgAAAA&#10;JQEAAGRycy9lMm9Eb2MueG1sUEsFBgAAAAAGAAYAWQEAAGcFAAAAAA=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60" w:lineRule="exact"/>
        <w:jc w:val="center"/>
        <w:rPr>
          <w:rFonts w:hint="eastAsia"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关于</w:t>
      </w:r>
      <w:r>
        <w:rPr>
          <w:rFonts w:hint="eastAsia" w:ascii="方正小标宋简体" w:eastAsia="方正小标宋简体"/>
          <w:b/>
          <w:sz w:val="44"/>
          <w:szCs w:val="44"/>
          <w:lang w:eastAsia="zh-CN"/>
        </w:rPr>
        <w:t>进一步落实会员机构</w:t>
      </w:r>
      <w:r>
        <w:rPr>
          <w:rFonts w:hint="eastAsia" w:ascii="方正小标宋简体" w:eastAsia="方正小标宋简体"/>
          <w:b/>
          <w:sz w:val="44"/>
          <w:szCs w:val="44"/>
        </w:rPr>
        <w:t>上传</w:t>
      </w:r>
      <w:r>
        <w:rPr>
          <w:rFonts w:hint="eastAsia" w:ascii="方正小标宋简体" w:eastAsia="方正小标宋简体"/>
          <w:b/>
          <w:sz w:val="44"/>
          <w:szCs w:val="44"/>
          <w:lang w:eastAsia="zh-CN"/>
        </w:rPr>
        <w:t>评估</w:t>
      </w:r>
      <w:r>
        <w:rPr>
          <w:rFonts w:hint="eastAsia" w:ascii="方正小标宋简体" w:eastAsia="方正小标宋简体"/>
          <w:b/>
          <w:sz w:val="44"/>
          <w:szCs w:val="44"/>
          <w:lang w:val="en-US" w:eastAsia="zh-CN"/>
        </w:rPr>
        <w:t>报告</w:t>
      </w:r>
      <w:r>
        <w:rPr>
          <w:rFonts w:hint="eastAsia" w:ascii="方正小标宋简体" w:eastAsia="方正小标宋简体"/>
          <w:b/>
          <w:sz w:val="44"/>
          <w:szCs w:val="44"/>
          <w:lang w:eastAsia="zh-CN"/>
        </w:rPr>
        <w:t>摘要</w:t>
      </w:r>
      <w:r>
        <w:rPr>
          <w:rFonts w:hint="eastAsia" w:ascii="方正小标宋简体" w:eastAsia="方正小标宋简体"/>
          <w:b/>
          <w:sz w:val="44"/>
          <w:szCs w:val="44"/>
        </w:rPr>
        <w:t>获取</w:t>
      </w:r>
      <w:r>
        <w:rPr>
          <w:rFonts w:hint="eastAsia" w:ascii="方正小标宋简体" w:eastAsia="方正小标宋简体"/>
          <w:b/>
          <w:sz w:val="44"/>
          <w:szCs w:val="44"/>
          <w:lang w:eastAsia="zh-CN"/>
        </w:rPr>
        <w:t>二维码</w:t>
      </w:r>
      <w:r>
        <w:rPr>
          <w:rFonts w:hint="eastAsia" w:ascii="方正小标宋简体" w:eastAsia="方正小标宋简体"/>
          <w:b/>
          <w:sz w:val="44"/>
          <w:szCs w:val="44"/>
        </w:rPr>
        <w:t>的通知</w:t>
      </w:r>
    </w:p>
    <w:p>
      <w:pPr>
        <w:spacing w:line="560" w:lineRule="exact"/>
        <w:jc w:val="center"/>
        <w:rPr>
          <w:rFonts w:hint="eastAsia" w:asciiTheme="minorEastAsia" w:hAnsiTheme="minorEastAsia" w:eastAsiaTheme="minorEastAsia" w:cstheme="minorEastAsia"/>
          <w:b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30"/>
          <w:szCs w:val="30"/>
          <w:lang w:eastAsia="zh-CN"/>
        </w:rPr>
        <w:t>（征求意见稿）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40" w:lineRule="exact"/>
        <w:jc w:val="left"/>
        <w:textAlignment w:val="auto"/>
        <w:outlineLvl w:val="9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协会所属会员机构</w:t>
      </w:r>
      <w:r>
        <w:rPr>
          <w:rFonts w:hint="eastAsia" w:ascii="宋体" w:hAnsi="宋体" w:eastAsia="宋体" w:cs="宋体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为</w:t>
      </w: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响应市住建委的工作安排，发挥协会在评估监理领域中的重要作用，规范协会所属会员机构的执业活动，加强对</w:t>
      </w:r>
      <w:r>
        <w:rPr>
          <w:rFonts w:hint="eastAsia" w:asciiTheme="minorEastAsia" w:hAnsiTheme="minorEastAsia" w:cstheme="minorEastAsia"/>
          <w:kern w:val="0"/>
          <w:sz w:val="32"/>
          <w:szCs w:val="32"/>
        </w:rPr>
        <w:t>物业服务评估监理机构出具评估报告的动态管理</w:t>
      </w:r>
      <w:r>
        <w:rPr>
          <w:rFonts w:hint="eastAsia" w:asciiTheme="minorEastAsia" w:hAnsiTheme="minorEastAsia" w:cstheme="minorEastAsia"/>
          <w:kern w:val="0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32"/>
          <w:szCs w:val="32"/>
        </w:rPr>
        <w:t>现就物业服务评估监理</w:t>
      </w: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机构评估报告备案的办理程序</w:t>
      </w:r>
      <w:r>
        <w:rPr>
          <w:rFonts w:hint="eastAsia" w:ascii="宋体" w:hAnsi="宋体" w:eastAsia="宋体" w:cs="宋体"/>
          <w:kern w:val="0"/>
          <w:sz w:val="32"/>
          <w:szCs w:val="32"/>
        </w:rPr>
        <w:t>有关</w:t>
      </w: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事项</w:t>
      </w:r>
      <w:r>
        <w:rPr>
          <w:rFonts w:hint="eastAsia" w:ascii="宋体" w:hAnsi="宋体" w:eastAsia="宋体" w:cs="宋体"/>
          <w:kern w:val="0"/>
          <w:sz w:val="32"/>
          <w:szCs w:val="32"/>
        </w:rPr>
        <w:t>通知如下：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协会所属会员机构出具的评估报告必须在协会进行备案。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协会所属会员机构报告备案的具体办理流程如下：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64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会员机构将以下材料电子版发送到协会邮箱：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64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评估报告摘要电子版（word）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64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评估报告摘要文字版专家签字并加盖物业评估企业公章（扫描件，pdf或jpeg格式）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firstLine="64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协会秘书处在收到邮件一个工作日内完成备案工作，以回复邮件的形式将带有二维码的评估报告摘要电子版（word）发送给会员机构。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left="0" w:leftChars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如项目在完成备案后信息发生变化，应于信息变化之日起30日内</w:t>
      </w:r>
      <w:r>
        <w:rPr>
          <w:rFonts w:hint="eastAsia" w:ascii="宋体" w:hAnsi="宋体" w:eastAsia="宋体" w:cs="宋体"/>
          <w:kern w:val="0"/>
          <w:sz w:val="32"/>
          <w:szCs w:val="32"/>
          <w:highlight w:val="none"/>
          <w:lang w:val="en-US" w:eastAsia="zh-CN"/>
        </w:rPr>
        <w:t>提交详细变更说明并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按本通知第二条的程序办理变更备案手续。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ind w:left="0" w:leftChars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本通知自2019年1月1日起实施，北京市物业服务评估监理协会《关于评估报告摘要上传获取条码形式调整的通知》（京物评协字</w:t>
      </w:r>
      <w:r>
        <w:rPr>
          <w:rFonts w:ascii="宋体" w:hAnsi="Calibri" w:cs="宋体"/>
          <w:kern w:val="0"/>
          <w:sz w:val="32"/>
          <w:szCs w:val="32"/>
        </w:rPr>
        <w:t>[2018]</w:t>
      </w:r>
      <w:r>
        <w:rPr>
          <w:rFonts w:hint="eastAsia" w:ascii="宋体" w:hAnsi="Calibri" w:cs="宋体"/>
          <w:kern w:val="0"/>
          <w:sz w:val="30"/>
          <w:szCs w:val="30"/>
          <w:lang w:val="en-US" w:eastAsia="zh-CN"/>
        </w:rPr>
        <w:t>9号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）</w:t>
      </w:r>
    </w:p>
    <w:p>
      <w:pPr>
        <w:jc w:val="both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</w:p>
    <w:p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</w:p>
    <w:p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</w:p>
    <w:p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</w:p>
    <w:p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</w:p>
    <w:p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</w:p>
    <w:p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</w:p>
    <w:p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</w:p>
    <w:p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</w:p>
    <w:p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</w:p>
    <w:p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</w:p>
    <w:p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</w:p>
    <w:p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</w:p>
    <w:p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jc w:val="righ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北京市物业服务评估监理协会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240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二〇一八年</w:t>
      </w: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十二</w:t>
      </w:r>
      <w:r>
        <w:rPr>
          <w:rFonts w:hint="eastAsia" w:ascii="宋体" w:hAnsi="宋体" w:eastAsia="宋体" w:cs="宋体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十五</w:t>
      </w:r>
      <w:r>
        <w:rPr>
          <w:rFonts w:hint="eastAsia" w:ascii="宋体" w:hAnsi="宋体" w:eastAsia="宋体" w:cs="宋体"/>
          <w:kern w:val="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-206375</wp:posOffset>
                </wp:positionH>
                <wp:positionV relativeFrom="paragraph">
                  <wp:posOffset>387985</wp:posOffset>
                </wp:positionV>
                <wp:extent cx="5715000" cy="0"/>
                <wp:effectExtent l="0" t="13970" r="0" b="241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6.25pt;margin-top:30.55pt;height:0pt;width:450pt;z-index:251663360;mso-width-relative:page;mso-height-relative:page;" filled="f" stroked="t" coordsize="21600,21600" o:gfxdata="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8B4AVdYAAAAJAQAADwAAAAAAAAABACAAAAAiAAAA&#10;ZHJzL2Rvd25yZXYueG1sUEsBAhQAFAAAAAgAh07iQBi1A1nQAQAAawMAAA4AAAAAAAAAAQAgAAAA&#10;JQEAAGRycy9lMm9Eb2MueG1sUEsFBgAAAAAGAAYAWQEAAGcFAAAAAA=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主题词：</w:t>
      </w:r>
      <w:r>
        <w:rPr>
          <w:rFonts w:hint="eastAsia" w:asciiTheme="minorEastAsia" w:hAnsiTheme="minorEastAsia" w:cstheme="minorEastAsia"/>
          <w:kern w:val="0"/>
          <w:sz w:val="30"/>
          <w:szCs w:val="30"/>
          <w:lang w:eastAsia="zh-CN"/>
        </w:rPr>
        <w:t>关于落实会员机构上传评估报告摘要获取二维码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eastAsia="zh-CN"/>
        </w:rPr>
        <w:t>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主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送：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eastAsia="zh-CN"/>
        </w:rPr>
        <w:t>各会员</w:t>
      </w:r>
      <w:r>
        <w:rPr>
          <w:rFonts w:hint="eastAsia" w:asciiTheme="minorEastAsia" w:hAnsiTheme="minorEastAsia" w:cstheme="minorEastAsia"/>
          <w:kern w:val="0"/>
          <w:sz w:val="30"/>
          <w:szCs w:val="30"/>
          <w:lang w:eastAsia="zh-CN"/>
        </w:rPr>
        <w:t>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抄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outlineLvl w:val="9"/>
      </w:pP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-3810</wp:posOffset>
                </wp:positionV>
                <wp:extent cx="5715000" cy="0"/>
                <wp:effectExtent l="0" t="13970" r="0" b="2413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5pt;margin-top:-0.3pt;height:0pt;width:450pt;z-index:251664384;mso-width-relative:page;mso-height-relative:page;" filled="f" stroked="t" coordsize="21600,21600" o:gfxdata="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CCHhb3UAAAABwEAAA8AAAAAAAAAAQAgAAAAIgAAAGRy&#10;cy9kb3ducmV2LnhtbFBLAQIUABQAAAAIAIdO4kDciPJm0AEAAGsDAAAOAAAAAAAAAAEAIAAAACMB&#10;AABkcnMvZTJvRG9jLnhtbFBLBQYAAAAABgAGAFkBAABlBQAAAAA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 xml:space="preserve">北京市物业服务评估监理协会秘书处       </w:t>
      </w:r>
      <w:r>
        <w:rPr>
          <w:rFonts w:hint="eastAsia" w:asciiTheme="minorEastAsia" w:hAnsiTheme="minorEastAsia" w:cstheme="minorEastAsia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201</w:t>
      </w:r>
      <w:r>
        <w:rPr>
          <w:rFonts w:hint="eastAsia" w:asciiTheme="minorEastAsia" w:hAnsiTheme="minorEastAsia" w:cstheme="minorEastAsia"/>
          <w:kern w:val="0"/>
          <w:sz w:val="30"/>
          <w:szCs w:val="30"/>
          <w:lang w:val="en-US" w:eastAsia="zh-CN"/>
        </w:rPr>
        <w:t>9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年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月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日发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A0D61B"/>
    <w:multiLevelType w:val="singleLevel"/>
    <w:tmpl w:val="89A0D61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D35B405"/>
    <w:multiLevelType w:val="singleLevel"/>
    <w:tmpl w:val="FD35B40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08219E"/>
    <w:rsid w:val="2708219E"/>
    <w:rsid w:val="29266350"/>
    <w:rsid w:val="295A797A"/>
    <w:rsid w:val="356E3CAB"/>
    <w:rsid w:val="397C6E5C"/>
    <w:rsid w:val="4F1E3EFF"/>
    <w:rsid w:val="4F3942EC"/>
    <w:rsid w:val="69A7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2018-10-25T02:51:00Z</dcterms:created>
  <dc:creator>吉米萝卜丝</dc:creator>
  <cp:lastModifiedBy>吉米萝卜丝</cp:lastModifiedBy>
  <dcterms:modified xsi:type="dcterms:W3CDTF">2018-12-14T02:21:14Z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